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62" w:rsidRDefault="009964A6" w:rsidP="0059581B">
      <w:pPr>
        <w:spacing w:after="0" w:line="240" w:lineRule="auto"/>
        <w:rPr>
          <w:b/>
        </w:rPr>
      </w:pPr>
      <w:r w:rsidRPr="00F04DB8">
        <w:rPr>
          <w:b/>
        </w:rPr>
        <w:t>Questions</w:t>
      </w:r>
      <w:r w:rsidR="00A9518C">
        <w:rPr>
          <w:b/>
        </w:rPr>
        <w:t xml:space="preserve"> and </w:t>
      </w:r>
      <w:r w:rsidRPr="00F04DB8">
        <w:rPr>
          <w:b/>
        </w:rPr>
        <w:t xml:space="preserve">Concerns of State DOTs regarding </w:t>
      </w:r>
    </w:p>
    <w:p w:rsidR="009964A6" w:rsidRDefault="006A5DBB" w:rsidP="0059581B">
      <w:pPr>
        <w:spacing w:after="0" w:line="240" w:lineRule="auto"/>
        <w:rPr>
          <w:b/>
        </w:rPr>
      </w:pPr>
      <w:r>
        <w:rPr>
          <w:b/>
        </w:rPr>
        <w:t xml:space="preserve">Implementation of </w:t>
      </w:r>
      <w:r w:rsidR="009964A6" w:rsidRPr="00F04DB8">
        <w:rPr>
          <w:b/>
        </w:rPr>
        <w:t xml:space="preserve">Buy America </w:t>
      </w:r>
      <w:r>
        <w:rPr>
          <w:b/>
        </w:rPr>
        <w:t>with respect to</w:t>
      </w:r>
      <w:r w:rsidR="009964A6" w:rsidRPr="00F04DB8">
        <w:rPr>
          <w:b/>
        </w:rPr>
        <w:t xml:space="preserve"> Utilities</w:t>
      </w:r>
    </w:p>
    <w:p w:rsidR="00F254D1" w:rsidRDefault="00F254D1" w:rsidP="0059581B">
      <w:pPr>
        <w:spacing w:after="0" w:line="240" w:lineRule="auto"/>
      </w:pPr>
      <w:r w:rsidRPr="00F254D1">
        <w:t>November 2013</w:t>
      </w:r>
    </w:p>
    <w:p w:rsidR="00F254D1" w:rsidRDefault="00F254D1" w:rsidP="0059581B">
      <w:pPr>
        <w:spacing w:after="0" w:line="240" w:lineRule="auto"/>
      </w:pPr>
    </w:p>
    <w:p w:rsidR="00C45AAF" w:rsidRPr="00F04DB8" w:rsidRDefault="0070572F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Compliance requirements – </w:t>
      </w:r>
      <w:r w:rsidR="00C45AAF" w:rsidRPr="00F04DB8">
        <w:t xml:space="preserve">In what situations </w:t>
      </w:r>
      <w:r w:rsidR="00E35AFA" w:rsidRPr="00F04DB8">
        <w:t xml:space="preserve">must </w:t>
      </w:r>
      <w:r w:rsidR="00C45AAF" w:rsidRPr="00F04DB8">
        <w:t xml:space="preserve">a utility comply with Buy </w:t>
      </w:r>
      <w:proofErr w:type="gramStart"/>
      <w:r w:rsidR="00C45AAF" w:rsidRPr="00F04DB8">
        <w:t>America?</w:t>
      </w:r>
      <w:proofErr w:type="gramEnd"/>
    </w:p>
    <w:p w:rsidR="00610922" w:rsidRPr="00F04DB8" w:rsidRDefault="00610922" w:rsidP="00E35AFA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Related to the project’s </w:t>
      </w:r>
      <w:r w:rsidRPr="00E94874">
        <w:t>funding source</w:t>
      </w:r>
      <w:r w:rsidRPr="00F04DB8">
        <w:t>:</w:t>
      </w:r>
    </w:p>
    <w:p w:rsidR="00610922" w:rsidRPr="00F04DB8" w:rsidRDefault="00610922" w:rsidP="00610922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 w:rsidRPr="00F04DB8">
        <w:t xml:space="preserve">Must utilities comply only when federal funding </w:t>
      </w:r>
      <w:proofErr w:type="gramStart"/>
      <w:r w:rsidRPr="00F04DB8">
        <w:t>is used</w:t>
      </w:r>
      <w:proofErr w:type="gramEnd"/>
      <w:r w:rsidRPr="00F04DB8">
        <w:t xml:space="preserve">?  </w:t>
      </w:r>
      <w:r w:rsidR="005D7C31">
        <w:t xml:space="preserve">Does this change if a utility pays for relocation itself?  Does this change if </w:t>
      </w:r>
      <w:r w:rsidR="0070572F">
        <w:t xml:space="preserve">only </w:t>
      </w:r>
      <w:r w:rsidR="005D7C31">
        <w:t xml:space="preserve">state funding </w:t>
      </w:r>
      <w:proofErr w:type="gramStart"/>
      <w:r w:rsidR="005D7C31">
        <w:t>is used</w:t>
      </w:r>
      <w:proofErr w:type="gramEnd"/>
      <w:r w:rsidR="005D7C31">
        <w:t>?</w:t>
      </w:r>
    </w:p>
    <w:p w:rsidR="00610922" w:rsidRPr="00F04DB8" w:rsidRDefault="00610922" w:rsidP="00E35AFA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Related to the </w:t>
      </w:r>
      <w:r w:rsidRPr="00E94874">
        <w:t>location of the utility</w:t>
      </w:r>
      <w:r w:rsidRPr="00F04DB8">
        <w:t>:</w:t>
      </w:r>
    </w:p>
    <w:p w:rsidR="00C45AAF" w:rsidRPr="00F04DB8" w:rsidRDefault="00610922" w:rsidP="00610922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 w:rsidRPr="00F04DB8">
        <w:t>Must utilities comply w</w:t>
      </w:r>
      <w:r w:rsidR="00C45AAF" w:rsidRPr="00F04DB8">
        <w:t xml:space="preserve">hen </w:t>
      </w:r>
      <w:r w:rsidRPr="00F04DB8">
        <w:t>they are</w:t>
      </w:r>
      <w:r w:rsidR="00C45AAF" w:rsidRPr="00F04DB8">
        <w:t xml:space="preserve"> in the state’</w:t>
      </w:r>
      <w:r w:rsidR="00E35AFA" w:rsidRPr="00F04DB8">
        <w:t xml:space="preserve">s right of way by permit?  Does </w:t>
      </w:r>
      <w:r w:rsidRPr="00F04DB8">
        <w:t>this change</w:t>
      </w:r>
      <w:r w:rsidR="00E35AFA" w:rsidRPr="00F04DB8">
        <w:t xml:space="preserve"> if the utility </w:t>
      </w:r>
      <w:proofErr w:type="gramStart"/>
      <w:r w:rsidR="00E35AFA" w:rsidRPr="00F04DB8">
        <w:t>is reimbursed</w:t>
      </w:r>
      <w:r w:rsidRPr="00F04DB8">
        <w:t>/not reimbursed</w:t>
      </w:r>
      <w:proofErr w:type="gramEnd"/>
      <w:r w:rsidR="00E35AFA" w:rsidRPr="00F04DB8">
        <w:t xml:space="preserve">?  </w:t>
      </w:r>
    </w:p>
    <w:p w:rsidR="00C45AAF" w:rsidRPr="00F04DB8" w:rsidRDefault="00610922" w:rsidP="00610922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 w:rsidRPr="00F04DB8">
        <w:t>Must utilities comply w</w:t>
      </w:r>
      <w:r w:rsidR="00C45AAF" w:rsidRPr="00F04DB8">
        <w:t xml:space="preserve">hen </w:t>
      </w:r>
      <w:r w:rsidRPr="00F04DB8">
        <w:t xml:space="preserve">they are </w:t>
      </w:r>
      <w:r w:rsidR="00C45AAF" w:rsidRPr="00F04DB8">
        <w:t xml:space="preserve">on </w:t>
      </w:r>
      <w:r w:rsidR="005D7C31">
        <w:t>their own</w:t>
      </w:r>
      <w:r w:rsidR="00C45AAF" w:rsidRPr="00F04DB8">
        <w:t xml:space="preserve"> easement</w:t>
      </w:r>
      <w:r w:rsidR="005D7C31">
        <w:t>s</w:t>
      </w:r>
      <w:r w:rsidR="00B6357D">
        <w:t xml:space="preserve"> and/or </w:t>
      </w:r>
      <w:r w:rsidR="00C45AAF" w:rsidRPr="00F04DB8">
        <w:t>right</w:t>
      </w:r>
      <w:r w:rsidRPr="00F04DB8">
        <w:t>s-</w:t>
      </w:r>
      <w:r w:rsidR="00C45AAF" w:rsidRPr="00F04DB8">
        <w:t>of</w:t>
      </w:r>
      <w:r w:rsidRPr="00F04DB8">
        <w:t>-</w:t>
      </w:r>
      <w:r w:rsidR="00C45AAF" w:rsidRPr="00F04DB8">
        <w:t>way?</w:t>
      </w:r>
    </w:p>
    <w:p w:rsidR="00C04303" w:rsidRDefault="00C04303" w:rsidP="00FA79F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Related to state laws regarding reimbursement:</w:t>
      </w:r>
    </w:p>
    <w:p w:rsidR="00C04303" w:rsidRDefault="00C04303" w:rsidP="00C04303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>
        <w:t xml:space="preserve">Is it correct that </w:t>
      </w:r>
      <w:r w:rsidRPr="00C04303">
        <w:t>Buy America does not apply to relocations where state law prohibits the use of highw</w:t>
      </w:r>
      <w:r>
        <w:t>ay funds to reimburse the utilities</w:t>
      </w:r>
      <w:r w:rsidR="00497E0F">
        <w:t>, regardless of the location of the utility or funding source used</w:t>
      </w:r>
      <w:r>
        <w:t>?</w:t>
      </w:r>
    </w:p>
    <w:p w:rsidR="00E94874" w:rsidRDefault="00E94874" w:rsidP="00FA79F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Do railroads count as a “utility” and must they comply with Buy America?</w:t>
      </w:r>
    </w:p>
    <w:p w:rsidR="00C45AAF" w:rsidRDefault="008B3F0F" w:rsidP="00FA79F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Are there o</w:t>
      </w:r>
      <w:r w:rsidR="00C45AAF" w:rsidRPr="00F04DB8">
        <w:t xml:space="preserve">ther </w:t>
      </w:r>
      <w:r>
        <w:t xml:space="preserve">compliance </w:t>
      </w:r>
      <w:r w:rsidR="00C45AAF" w:rsidRPr="00F04DB8">
        <w:t>situations</w:t>
      </w:r>
      <w:r>
        <w:t xml:space="preserve"> states</w:t>
      </w:r>
      <w:r w:rsidR="000465EE">
        <w:t>/utilities</w:t>
      </w:r>
      <w:r>
        <w:t xml:space="preserve"> need to be aware </w:t>
      </w:r>
      <w:proofErr w:type="gramStart"/>
      <w:r>
        <w:t>of</w:t>
      </w:r>
      <w:proofErr w:type="gramEnd"/>
      <w:r w:rsidR="00C45AAF" w:rsidRPr="00F04DB8">
        <w:t>?</w:t>
      </w:r>
    </w:p>
    <w:p w:rsidR="000A0EF4" w:rsidRDefault="000A0EF4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Legal language</w:t>
      </w:r>
    </w:p>
    <w:p w:rsidR="009964A6" w:rsidRDefault="000624CF" w:rsidP="000A0EF4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What legal language needs to </w:t>
      </w:r>
      <w:proofErr w:type="gramStart"/>
      <w:r w:rsidRPr="00F04DB8">
        <w:t>be added</w:t>
      </w:r>
      <w:proofErr w:type="gramEnd"/>
      <w:r w:rsidRPr="00F04DB8">
        <w:t xml:space="preserve"> to utility agreements</w:t>
      </w:r>
      <w:r w:rsidR="00D44B8C" w:rsidRPr="00F04DB8">
        <w:t xml:space="preserve"> to address the new Buy America requirements</w:t>
      </w:r>
      <w:r w:rsidRPr="00F04DB8">
        <w:t>?  Is there sample</w:t>
      </w:r>
      <w:r w:rsidR="003B1DE0" w:rsidRPr="00F04DB8">
        <w:t xml:space="preserve"> or “model”</w:t>
      </w:r>
      <w:r w:rsidRPr="00F04DB8">
        <w:t xml:space="preserve"> language?</w:t>
      </w:r>
    </w:p>
    <w:p w:rsidR="009737A2" w:rsidRPr="00F04DB8" w:rsidRDefault="000465EE" w:rsidP="009737A2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proofErr w:type="gramStart"/>
      <w:r>
        <w:t>Can the</w:t>
      </w:r>
      <w:r w:rsidR="009737A2" w:rsidRPr="009737A2">
        <w:t xml:space="preserve"> risk </w:t>
      </w:r>
      <w:r>
        <w:t>of compliance be shared</w:t>
      </w:r>
      <w:proofErr w:type="gramEnd"/>
      <w:r>
        <w:t xml:space="preserve"> </w:t>
      </w:r>
      <w:r w:rsidR="009737A2" w:rsidRPr="009737A2">
        <w:t xml:space="preserve">with the utility?  </w:t>
      </w:r>
      <w:proofErr w:type="gramStart"/>
      <w:r w:rsidR="00CF53E7" w:rsidRPr="00CF53E7">
        <w:t>Or</w:t>
      </w:r>
      <w:proofErr w:type="gramEnd"/>
      <w:r w:rsidR="00CF53E7" w:rsidRPr="00CF53E7">
        <w:t xml:space="preserve"> c</w:t>
      </w:r>
      <w:r w:rsidR="009737A2" w:rsidRPr="00CF53E7">
        <w:t xml:space="preserve">an language be developed </w:t>
      </w:r>
      <w:r w:rsidR="00CF53E7" w:rsidRPr="00CF53E7">
        <w:t xml:space="preserve">that </w:t>
      </w:r>
      <w:r w:rsidR="009737A2" w:rsidRPr="00CF53E7">
        <w:t>put</w:t>
      </w:r>
      <w:r w:rsidR="00CF53E7" w:rsidRPr="00CF53E7">
        <w:t>s</w:t>
      </w:r>
      <w:r w:rsidR="009737A2" w:rsidRPr="00CF53E7">
        <w:t xml:space="preserve"> </w:t>
      </w:r>
      <w:r w:rsidR="00CF53E7" w:rsidRPr="00CF53E7">
        <w:t>the</w:t>
      </w:r>
      <w:r w:rsidR="009737A2" w:rsidRPr="00CF53E7">
        <w:t xml:space="preserve"> liability upon the utilities for corrective actions?</w:t>
      </w:r>
      <w:r w:rsidR="009737A2" w:rsidRPr="009737A2">
        <w:t xml:space="preserve">     </w:t>
      </w:r>
    </w:p>
    <w:p w:rsidR="00256B8A" w:rsidRPr="00F04DB8" w:rsidRDefault="0070572F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C</w:t>
      </w:r>
      <w:r w:rsidR="000A0EF4">
        <w:t>ertification process</w:t>
      </w:r>
    </w:p>
    <w:p w:rsidR="00BA6316" w:rsidRPr="00F04DB8" w:rsidRDefault="00BA6316" w:rsidP="00BB3D4F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Who determines what certification process is used?  </w:t>
      </w:r>
      <w:r w:rsidR="00BB3D4F">
        <w:t xml:space="preserve">Is there </w:t>
      </w:r>
      <w:r w:rsidR="00BB3D4F" w:rsidRPr="00BB3D4F">
        <w:t xml:space="preserve">a recommended procedure </w:t>
      </w:r>
      <w:proofErr w:type="gramStart"/>
      <w:r w:rsidR="00BB3D4F" w:rsidRPr="00BB3D4F">
        <w:t>for</w:t>
      </w:r>
      <w:proofErr w:type="gramEnd"/>
      <w:r w:rsidR="00BB3D4F" w:rsidRPr="00BB3D4F">
        <w:t xml:space="preserve"> state transportation agencies to follow in determining compliance by utility companies</w:t>
      </w:r>
      <w:r w:rsidR="00AD60EB">
        <w:t xml:space="preserve"> and</w:t>
      </w:r>
      <w:r w:rsidR="00CE09CB">
        <w:t>,</w:t>
      </w:r>
      <w:r w:rsidR="00AD60EB">
        <w:t xml:space="preserve"> if one is being developed, can states and utilities be involved in the </w:t>
      </w:r>
      <w:r w:rsidR="00CE09CB">
        <w:t xml:space="preserve">development </w:t>
      </w:r>
      <w:r w:rsidR="00AD60EB">
        <w:t>process</w:t>
      </w:r>
      <w:r w:rsidR="00BB3D4F">
        <w:t>?</w:t>
      </w:r>
    </w:p>
    <w:p w:rsidR="00BA6316" w:rsidRPr="00F04DB8" w:rsidRDefault="000624CF" w:rsidP="006643C6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What </w:t>
      </w:r>
      <w:r w:rsidR="003B1DE0" w:rsidRPr="00F04DB8">
        <w:t xml:space="preserve">steps </w:t>
      </w:r>
      <w:r w:rsidRPr="00F04DB8">
        <w:t>do</w:t>
      </w:r>
      <w:r w:rsidR="00BA6316" w:rsidRPr="00F04DB8">
        <w:t>es “certification” consist of, and w</w:t>
      </w:r>
      <w:r w:rsidRPr="00F04DB8">
        <w:t xml:space="preserve">hat documentation </w:t>
      </w:r>
      <w:proofErr w:type="gramStart"/>
      <w:r w:rsidRPr="00F04DB8">
        <w:t>is needed</w:t>
      </w:r>
      <w:proofErr w:type="gramEnd"/>
      <w:r w:rsidRPr="00F04DB8">
        <w:t xml:space="preserve">?  </w:t>
      </w:r>
      <w:r w:rsidR="00BA6316" w:rsidRPr="00F04DB8">
        <w:t xml:space="preserve">How long </w:t>
      </w:r>
      <w:proofErr w:type="gramStart"/>
      <w:r w:rsidR="00BA6316" w:rsidRPr="00F04DB8">
        <w:t>must the documentation</w:t>
      </w:r>
      <w:proofErr w:type="gramEnd"/>
      <w:r w:rsidR="00BA6316" w:rsidRPr="00F04DB8">
        <w:t xml:space="preserve"> be retained?</w:t>
      </w:r>
      <w:r w:rsidR="006643C6">
        <w:t xml:space="preserve">  </w:t>
      </w:r>
      <w:r w:rsidR="00BB3D4F">
        <w:t>Does FHWA have</w:t>
      </w:r>
      <w:r w:rsidR="006643C6" w:rsidRPr="006643C6">
        <w:t xml:space="preserve"> </w:t>
      </w:r>
      <w:r w:rsidR="00CE09CB">
        <w:t xml:space="preserve">a </w:t>
      </w:r>
      <w:r w:rsidR="006643C6" w:rsidRPr="006643C6">
        <w:t>sample</w:t>
      </w:r>
      <w:r w:rsidR="00CE09CB">
        <w:t xml:space="preserve"> certification document</w:t>
      </w:r>
      <w:r w:rsidR="006643C6" w:rsidRPr="006643C6">
        <w:t xml:space="preserve">?  </w:t>
      </w:r>
    </w:p>
    <w:p w:rsidR="00256B8A" w:rsidRPr="00F04DB8" w:rsidRDefault="00FE6954" w:rsidP="00256B8A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>What are the expectations of the states</w:t>
      </w:r>
      <w:r w:rsidR="00870C6E">
        <w:t xml:space="preserve"> and utilities</w:t>
      </w:r>
      <w:r w:rsidRPr="00F04DB8">
        <w:t xml:space="preserve"> with regard to inspection</w:t>
      </w:r>
      <w:r w:rsidR="000544CD">
        <w:t>,</w:t>
      </w:r>
      <w:r w:rsidRPr="00F04DB8">
        <w:t xml:space="preserve"> oversight</w:t>
      </w:r>
      <w:r w:rsidR="000544CD">
        <w:t>, and/or auditing</w:t>
      </w:r>
      <w:r w:rsidRPr="00F04DB8">
        <w:t xml:space="preserve"> to ensure that Buy America </w:t>
      </w:r>
      <w:proofErr w:type="gramStart"/>
      <w:r w:rsidRPr="00F04DB8">
        <w:t>is met</w:t>
      </w:r>
      <w:proofErr w:type="gramEnd"/>
      <w:r w:rsidRPr="00F04DB8">
        <w:t>?</w:t>
      </w:r>
      <w:r w:rsidR="006208EA" w:rsidRPr="00F04DB8">
        <w:t xml:space="preserve">  </w:t>
      </w:r>
      <w:proofErr w:type="gramStart"/>
      <w:r w:rsidR="00870C6E">
        <w:t>Will a national process be developed</w:t>
      </w:r>
      <w:proofErr w:type="gramEnd"/>
      <w:r w:rsidR="00870C6E">
        <w:t>?</w:t>
      </w:r>
    </w:p>
    <w:p w:rsidR="000A0EF4" w:rsidRDefault="000A0EF4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Review/Approval of Certification</w:t>
      </w:r>
      <w:r w:rsidR="00AD60EB">
        <w:t>s</w:t>
      </w:r>
    </w:p>
    <w:p w:rsidR="009737A2" w:rsidRDefault="00EF5542" w:rsidP="000A0EF4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proofErr w:type="gramStart"/>
      <w:r>
        <w:t>Is</w:t>
      </w:r>
      <w:proofErr w:type="gramEnd"/>
      <w:r>
        <w:t xml:space="preserve"> there a</w:t>
      </w:r>
      <w:r w:rsidR="00B62698" w:rsidRPr="00F04DB8">
        <w:t xml:space="preserve"> federal</w:t>
      </w:r>
      <w:r w:rsidR="00D06DF8">
        <w:t>-</w:t>
      </w:r>
      <w:r w:rsidR="00B62698" w:rsidRPr="00F04DB8">
        <w:t xml:space="preserve">level </w:t>
      </w:r>
      <w:r w:rsidR="000624CF" w:rsidRPr="00F04DB8">
        <w:t>review</w:t>
      </w:r>
      <w:r w:rsidR="003B1DE0" w:rsidRPr="00F04DB8">
        <w:t xml:space="preserve"> and/or approv</w:t>
      </w:r>
      <w:r>
        <w:t>al of</w:t>
      </w:r>
      <w:r w:rsidR="003B1DE0" w:rsidRPr="00F04DB8">
        <w:t xml:space="preserve"> </w:t>
      </w:r>
      <w:r w:rsidR="00A21C7C" w:rsidRPr="00F04DB8">
        <w:t xml:space="preserve">the </w:t>
      </w:r>
      <w:r w:rsidR="000624CF" w:rsidRPr="00F04DB8">
        <w:t>certifications</w:t>
      </w:r>
      <w:r w:rsidR="00007307">
        <w:t xml:space="preserve"> or the </w:t>
      </w:r>
      <w:r w:rsidR="00A21C7C" w:rsidRPr="00F04DB8">
        <w:t xml:space="preserve">certification </w:t>
      </w:r>
      <w:r w:rsidR="00A21C7C" w:rsidRPr="00007307">
        <w:t>process</w:t>
      </w:r>
      <w:r w:rsidR="000624CF" w:rsidRPr="00F04DB8">
        <w:t xml:space="preserve">?  </w:t>
      </w:r>
      <w:proofErr w:type="gramStart"/>
      <w:r w:rsidR="00007307">
        <w:t>Or</w:t>
      </w:r>
      <w:proofErr w:type="gramEnd"/>
      <w:r w:rsidR="00007307">
        <w:t xml:space="preserve"> is this a state function?</w:t>
      </w:r>
    </w:p>
    <w:p w:rsidR="000A0EF4" w:rsidRDefault="000A0EF4" w:rsidP="00F254D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Inability to Certify</w:t>
      </w:r>
    </w:p>
    <w:p w:rsidR="000411C0" w:rsidRDefault="00F254D1" w:rsidP="000A0EF4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lastRenderedPageBreak/>
        <w:t xml:space="preserve">How should states handle a situation where a utility declines or is unable to certify that their materials comply with Buy America?  </w:t>
      </w:r>
    </w:p>
    <w:p w:rsidR="00F254D1" w:rsidRDefault="00F254D1" w:rsidP="000411C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What recourse does </w:t>
      </w:r>
      <w:r w:rsidR="000411C0">
        <w:t>a</w:t>
      </w:r>
      <w:r w:rsidRPr="00F04DB8">
        <w:t xml:space="preserve"> </w:t>
      </w:r>
      <w:r w:rsidR="00BB2CE3">
        <w:t>state</w:t>
      </w:r>
      <w:r w:rsidRPr="00F04DB8">
        <w:t xml:space="preserve"> have if a utility company refuses to sign the utility relocation agreement </w:t>
      </w:r>
      <w:r w:rsidR="000411C0">
        <w:t>due to</w:t>
      </w:r>
      <w:r w:rsidRPr="00F04DB8">
        <w:t xml:space="preserve"> the Buy America provision?</w:t>
      </w:r>
    </w:p>
    <w:p w:rsidR="00DC333E" w:rsidRPr="00FC5D42" w:rsidRDefault="00DC333E" w:rsidP="00DC333E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C5D42">
        <w:t xml:space="preserve">How will the issue of unavailability of domestic </w:t>
      </w:r>
      <w:proofErr w:type="gramStart"/>
      <w:r w:rsidRPr="00FC5D42">
        <w:t>products which meet utility compan</w:t>
      </w:r>
      <w:r w:rsidR="00FC5D42" w:rsidRPr="00FC5D42">
        <w:t>ie</w:t>
      </w:r>
      <w:r w:rsidRPr="00FC5D42">
        <w:t>s</w:t>
      </w:r>
      <w:r w:rsidR="00FC5D42" w:rsidRPr="00FC5D42">
        <w:t>’</w:t>
      </w:r>
      <w:r w:rsidRPr="00FC5D42">
        <w:t xml:space="preserve"> technical standards</w:t>
      </w:r>
      <w:proofErr w:type="gramEnd"/>
      <w:r w:rsidRPr="00FC5D42">
        <w:t xml:space="preserve"> be resolved?  </w:t>
      </w:r>
    </w:p>
    <w:p w:rsidR="000A0EF4" w:rsidRDefault="000A0EF4" w:rsidP="00BB3D4F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Non-compliance</w:t>
      </w:r>
    </w:p>
    <w:p w:rsidR="000411C0" w:rsidRDefault="000624CF" w:rsidP="000A0EF4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What </w:t>
      </w:r>
      <w:r w:rsidR="00A64A63">
        <w:t>are the penalties, responsibilities, and required remedies if</w:t>
      </w:r>
      <w:r w:rsidRPr="00F04DB8">
        <w:t xml:space="preserve"> a</w:t>
      </w:r>
      <w:r w:rsidR="003B1DE0" w:rsidRPr="00F04DB8">
        <w:t xml:space="preserve">n installation </w:t>
      </w:r>
      <w:proofErr w:type="gramStart"/>
      <w:r w:rsidRPr="00F04DB8">
        <w:t>is found</w:t>
      </w:r>
      <w:proofErr w:type="gramEnd"/>
      <w:r w:rsidRPr="00F04DB8">
        <w:t xml:space="preserve"> to be in non-compliance</w:t>
      </w:r>
      <w:r w:rsidR="000411C0">
        <w:t>?</w:t>
      </w:r>
    </w:p>
    <w:p w:rsidR="000411C0" w:rsidRDefault="000411C0" w:rsidP="00A6631C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proofErr w:type="gramStart"/>
      <w:r>
        <w:t>W</w:t>
      </w:r>
      <w:r w:rsidR="000624CF" w:rsidRPr="00F04DB8">
        <w:t>ill federal funding be revoked</w:t>
      </w:r>
      <w:proofErr w:type="gramEnd"/>
      <w:r>
        <w:t>?  W</w:t>
      </w:r>
      <w:r w:rsidR="000624CF" w:rsidRPr="00F04DB8">
        <w:t xml:space="preserve">ill installations need to </w:t>
      </w:r>
      <w:proofErr w:type="gramStart"/>
      <w:r w:rsidR="000624CF" w:rsidRPr="00F04DB8">
        <w:t>be replaced</w:t>
      </w:r>
      <w:proofErr w:type="gramEnd"/>
      <w:r w:rsidR="000624CF" w:rsidRPr="00F04DB8">
        <w:t>?</w:t>
      </w:r>
      <w:r w:rsidR="00BB3D4F">
        <w:t xml:space="preserve">  </w:t>
      </w:r>
    </w:p>
    <w:p w:rsidR="000624CF" w:rsidRDefault="00BB3D4F" w:rsidP="00A6631C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 w:rsidRPr="00BB3D4F">
        <w:t xml:space="preserve">Does a </w:t>
      </w:r>
      <w:r w:rsidR="007E59AB">
        <w:t>S</w:t>
      </w:r>
      <w:r w:rsidRPr="00BB3D4F">
        <w:t xml:space="preserve">tate </w:t>
      </w:r>
      <w:r w:rsidR="00A6631C">
        <w:t xml:space="preserve">DOT </w:t>
      </w:r>
      <w:r w:rsidRPr="00BB3D4F">
        <w:t xml:space="preserve">face penalties if it accepts a certification from a utility that turns out to be </w:t>
      </w:r>
      <w:r w:rsidR="00A6631C">
        <w:t>inaccurate</w:t>
      </w:r>
      <w:r w:rsidRPr="00BB3D4F">
        <w:t>?  Who is ultimately responsible for a</w:t>
      </w:r>
      <w:r w:rsidR="00A6631C">
        <w:t>n</w:t>
      </w:r>
      <w:r w:rsidRPr="00BB3D4F">
        <w:t xml:space="preserve"> </w:t>
      </w:r>
      <w:r w:rsidR="00A6631C">
        <w:t>inaccurate</w:t>
      </w:r>
      <w:r w:rsidRPr="00BB3D4F">
        <w:t xml:space="preserve"> certification by a utility?</w:t>
      </w:r>
      <w:r w:rsidR="00A64A63">
        <w:t xml:space="preserve">  </w:t>
      </w:r>
    </w:p>
    <w:p w:rsidR="00673F7D" w:rsidRDefault="00673F7D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Substantial compliance</w:t>
      </w:r>
    </w:p>
    <w:p w:rsidR="00673F7D" w:rsidRDefault="00DC69D1" w:rsidP="00673F7D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What is “substantial compliance”?  </w:t>
      </w:r>
    </w:p>
    <w:p w:rsidR="009964A6" w:rsidRPr="00F04DB8" w:rsidRDefault="00AD78D1" w:rsidP="00673F7D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>Is the 90% rule still in effect and, if so, h</w:t>
      </w:r>
      <w:r w:rsidR="00DC69D1" w:rsidRPr="00F04DB8">
        <w:t>ow is it calculated for any given material (weight, cost, volume, other)?</w:t>
      </w:r>
    </w:p>
    <w:p w:rsidR="00265411" w:rsidRDefault="00265411" w:rsidP="00E82AF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I</w:t>
      </w:r>
      <w:r w:rsidRPr="00E82AF1">
        <w:t>ndustry</w:t>
      </w:r>
      <w:r>
        <w:t>-</w:t>
      </w:r>
      <w:r w:rsidRPr="00E82AF1">
        <w:t xml:space="preserve">specific lists </w:t>
      </w:r>
    </w:p>
    <w:p w:rsidR="00E82AF1" w:rsidRDefault="006208EA" w:rsidP="00265411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Can the list of items </w:t>
      </w:r>
      <w:r w:rsidR="00BE57D8">
        <w:t xml:space="preserve">that are </w:t>
      </w:r>
      <w:r w:rsidR="00494787" w:rsidRPr="00F04DB8">
        <w:t>subject to (or not subject to) Buy America requirements</w:t>
      </w:r>
      <w:r w:rsidRPr="00F04DB8">
        <w:t xml:space="preserve"> be expand</w:t>
      </w:r>
      <w:r w:rsidR="00E82AF1">
        <w:t xml:space="preserve">ed and tailored to utilities?  </w:t>
      </w:r>
    </w:p>
    <w:p w:rsidR="00673F7D" w:rsidRDefault="00673F7D" w:rsidP="004002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Recycled materials</w:t>
      </w:r>
    </w:p>
    <w:p w:rsidR="000A6BBA" w:rsidRDefault="000A6BBA" w:rsidP="00673F7D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0A6BBA">
        <w:t>If a utility recycles/refurbishes materials, certification may be difficult or impossible.  Are recycled/refurbished components subject to</w:t>
      </w:r>
      <w:r>
        <w:t xml:space="preserve"> Buy America?</w:t>
      </w:r>
      <w:r w:rsidR="004002F9">
        <w:t xml:space="preserve">  (</w:t>
      </w:r>
      <w:r w:rsidR="00581E40">
        <w:t>i.e., c</w:t>
      </w:r>
      <w:r w:rsidR="004002F9" w:rsidRPr="004002F9">
        <w:t>an utility companies use recycled material</w:t>
      </w:r>
      <w:r w:rsidR="004002F9">
        <w:t>s</w:t>
      </w:r>
      <w:r w:rsidR="004002F9" w:rsidRPr="004002F9">
        <w:t xml:space="preserve"> that </w:t>
      </w:r>
      <w:proofErr w:type="gramStart"/>
      <w:r w:rsidR="004002F9" w:rsidRPr="004002F9">
        <w:t>originally were made in other countries then recycled in the U.S.</w:t>
      </w:r>
      <w:proofErr w:type="gramEnd"/>
      <w:r w:rsidR="004002F9" w:rsidRPr="004002F9">
        <w:t>?</w:t>
      </w:r>
      <w:r w:rsidR="004002F9">
        <w:t>)</w:t>
      </w:r>
    </w:p>
    <w:p w:rsidR="00673F7D" w:rsidRDefault="00673F7D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Waivers</w:t>
      </w:r>
    </w:p>
    <w:p w:rsidR="00DC69D1" w:rsidRPr="00F04DB8" w:rsidRDefault="00FE7B25" w:rsidP="00673F7D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>During this initial implementation period</w:t>
      </w:r>
      <w:r w:rsidR="00E21B96" w:rsidRPr="00F04DB8">
        <w:t xml:space="preserve"> (and given that many utilities have stockpiled materials and established supply chains)</w:t>
      </w:r>
      <w:r w:rsidRPr="00F04DB8">
        <w:t xml:space="preserve">, will waivers be allowed for materials with significantly long lead-times for acquisition?  </w:t>
      </w:r>
    </w:p>
    <w:p w:rsidR="00C45395" w:rsidRPr="00673F7D" w:rsidRDefault="00C45395" w:rsidP="00C4539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szCs w:val="24"/>
        </w:rPr>
      </w:pPr>
      <w:r w:rsidRPr="00E82AF1">
        <w:t xml:space="preserve">Could nationwide waivers for specific materials be granted, rather than project-based waivers, </w:t>
      </w:r>
      <w:proofErr w:type="gramStart"/>
      <w:r w:rsidRPr="00E82AF1">
        <w:t>until such time as</w:t>
      </w:r>
      <w:proofErr w:type="gramEnd"/>
      <w:r w:rsidRPr="00E82AF1">
        <w:t xml:space="preserve"> the materials are available from a domestic source?</w:t>
      </w:r>
    </w:p>
    <w:p w:rsidR="00C45395" w:rsidRPr="00ED768B" w:rsidRDefault="00C45395" w:rsidP="00C4539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szCs w:val="24"/>
        </w:rPr>
      </w:pPr>
      <w:r>
        <w:t>Can u</w:t>
      </w:r>
      <w:r w:rsidRPr="00E82AF1">
        <w:t>tilit</w:t>
      </w:r>
      <w:r w:rsidR="008C4AD8">
        <w:t xml:space="preserve">y companies </w:t>
      </w:r>
      <w:r w:rsidRPr="00E82AF1">
        <w:t>directly request waivers</w:t>
      </w:r>
      <w:r>
        <w:t>?</w:t>
      </w:r>
      <w:r w:rsidRPr="00673F7D">
        <w:t xml:space="preserve"> </w:t>
      </w:r>
      <w:r w:rsidR="008C4AD8">
        <w:t xml:space="preserve"> </w:t>
      </w:r>
      <w:r>
        <w:t xml:space="preserve">What specific documentation does the FHWA </w:t>
      </w:r>
      <w:r w:rsidRPr="00ED768B">
        <w:t>require from utility companies for a waiver?</w:t>
      </w:r>
    </w:p>
    <w:p w:rsidR="00C45395" w:rsidRPr="00C45395" w:rsidRDefault="00C45395" w:rsidP="00C4539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szCs w:val="24"/>
        </w:rPr>
      </w:pPr>
      <w:r w:rsidRPr="00ED768B">
        <w:t xml:space="preserve">If a waiver on specific items </w:t>
      </w:r>
      <w:proofErr w:type="gramStart"/>
      <w:r w:rsidRPr="00ED768B">
        <w:t>has been previously approved</w:t>
      </w:r>
      <w:proofErr w:type="gramEnd"/>
      <w:r w:rsidRPr="00ED768B">
        <w:t xml:space="preserve">, can a utility/contractor claim that waiver and proceed? </w:t>
      </w:r>
      <w:proofErr w:type="gramStart"/>
      <w:r w:rsidRPr="00ED768B">
        <w:t>Or</w:t>
      </w:r>
      <w:proofErr w:type="gramEnd"/>
      <w:r w:rsidRPr="00ED768B">
        <w:t xml:space="preserve"> do they have to start the process from scratch?</w:t>
      </w:r>
    </w:p>
    <w:p w:rsidR="00620089" w:rsidRDefault="00620089" w:rsidP="0062008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Training</w:t>
      </w:r>
    </w:p>
    <w:p w:rsidR="00620089" w:rsidRDefault="00033866" w:rsidP="0062008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lastRenderedPageBreak/>
        <w:t>W</w:t>
      </w:r>
      <w:r w:rsidR="00620089">
        <w:t xml:space="preserve">ill training be </w:t>
      </w:r>
      <w:r w:rsidR="00620089" w:rsidRPr="00F04DB8">
        <w:t>develop</w:t>
      </w:r>
      <w:r w:rsidR="00620089">
        <w:t>ed</w:t>
      </w:r>
      <w:r w:rsidR="00620089" w:rsidRPr="00F04DB8">
        <w:t xml:space="preserve"> and provide</w:t>
      </w:r>
      <w:r w:rsidR="00A005FE">
        <w:t>d</w:t>
      </w:r>
      <w:r w:rsidR="00620089" w:rsidRPr="00F04DB8">
        <w:t xml:space="preserve"> </w:t>
      </w:r>
      <w:r w:rsidR="00620089">
        <w:t>to</w:t>
      </w:r>
      <w:r w:rsidR="00620089" w:rsidRPr="00F04DB8">
        <w:t xml:space="preserve"> local agencies and utilities for Buy America applicati</w:t>
      </w:r>
      <w:r w:rsidR="00A005FE">
        <w:t>on and material certification?</w:t>
      </w:r>
    </w:p>
    <w:p w:rsidR="00265411" w:rsidRDefault="00265411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Harmonization of federal agency requirements</w:t>
      </w:r>
    </w:p>
    <w:p w:rsidR="002D18E3" w:rsidRDefault="00E21B96" w:rsidP="00265411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Has FHWA coordinated with FTA regarding their </w:t>
      </w:r>
      <w:proofErr w:type="gramStart"/>
      <w:r w:rsidR="00BA7363" w:rsidRPr="00F04DB8">
        <w:t>slightly-different</w:t>
      </w:r>
      <w:proofErr w:type="gramEnd"/>
      <w:r w:rsidR="00BA7363" w:rsidRPr="00F04DB8">
        <w:t xml:space="preserve"> </w:t>
      </w:r>
      <w:r w:rsidRPr="00F04DB8">
        <w:t xml:space="preserve">Buy America requirements, especially </w:t>
      </w:r>
      <w:r w:rsidR="00BA7363" w:rsidRPr="00F04DB8">
        <w:t>with regard to</w:t>
      </w:r>
      <w:r w:rsidRPr="00F04DB8">
        <w:t xml:space="preserve"> multi-modal projects?  </w:t>
      </w:r>
    </w:p>
    <w:p w:rsidR="002D18E3" w:rsidRDefault="00E21B96" w:rsidP="0038646E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 w:rsidRPr="00F04DB8">
        <w:t xml:space="preserve">If there are differences, which regulations </w:t>
      </w:r>
      <w:r w:rsidR="00BA7363" w:rsidRPr="00F04DB8">
        <w:t xml:space="preserve">will </w:t>
      </w:r>
      <w:r w:rsidRPr="00F04DB8">
        <w:t>govern?</w:t>
      </w:r>
      <w:r w:rsidR="007773B5" w:rsidRPr="00F04DB8">
        <w:t xml:space="preserve">  </w:t>
      </w:r>
    </w:p>
    <w:p w:rsidR="002D2DCB" w:rsidRDefault="002D2DCB" w:rsidP="002D18E3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Are there also differences between </w:t>
      </w:r>
      <w:r w:rsidRPr="00F04DB8">
        <w:t>Buy America</w:t>
      </w:r>
      <w:r>
        <w:t xml:space="preserve"> provisions of FHWA and FRA?</w:t>
      </w:r>
    </w:p>
    <w:p w:rsidR="00620089" w:rsidRDefault="008C6A36" w:rsidP="00FA79F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F04DB8">
        <w:t>De</w:t>
      </w:r>
      <w:r w:rsidR="00C04303">
        <w:t xml:space="preserve"> m</w:t>
      </w:r>
      <w:r w:rsidR="00620089">
        <w:t>inimus</w:t>
      </w:r>
    </w:p>
    <w:p w:rsidR="008C6A36" w:rsidRPr="00F04DB8" w:rsidRDefault="00620089" w:rsidP="0062008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T</w:t>
      </w:r>
      <w:r w:rsidR="008C6A36" w:rsidRPr="00F04DB8">
        <w:t xml:space="preserve">he current threshold </w:t>
      </w:r>
      <w:proofErr w:type="gramStart"/>
      <w:r w:rsidR="008C6A36" w:rsidRPr="00F04DB8">
        <w:t>is based</w:t>
      </w:r>
      <w:proofErr w:type="gramEnd"/>
      <w:r w:rsidR="008C6A36" w:rsidRPr="00F04DB8">
        <w:t xml:space="preserve"> on economic conditions from 1983 (30 years old).  What is the likelihood of an adjustment to the formula?  Will the comments regarding De </w:t>
      </w:r>
      <w:r w:rsidR="00C04303">
        <w:t>m</w:t>
      </w:r>
      <w:r w:rsidR="008C6A36" w:rsidRPr="00F04DB8">
        <w:t xml:space="preserve">inimus submitted in the federal register </w:t>
      </w:r>
      <w:proofErr w:type="gramStart"/>
      <w:r w:rsidR="008C6A36" w:rsidRPr="00F04DB8">
        <w:t>be considered and adopted</w:t>
      </w:r>
      <w:proofErr w:type="gramEnd"/>
      <w:r w:rsidR="008C6A36" w:rsidRPr="00F04DB8">
        <w:t>?  If so, what is the anticipated schedule for a formal adjustment?</w:t>
      </w:r>
    </w:p>
    <w:p w:rsidR="004969FB" w:rsidRPr="00F04DB8" w:rsidRDefault="004969FB" w:rsidP="0062008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F04DB8">
        <w:t xml:space="preserve">Clarification </w:t>
      </w:r>
      <w:proofErr w:type="gramStart"/>
      <w:r w:rsidR="00A51042" w:rsidRPr="00F04DB8">
        <w:t>is needed</w:t>
      </w:r>
      <w:proofErr w:type="gramEnd"/>
      <w:r w:rsidR="00A51042" w:rsidRPr="00F04DB8">
        <w:t xml:space="preserve"> regarding </w:t>
      </w:r>
      <w:r w:rsidRPr="00F04DB8">
        <w:t xml:space="preserve">the .1% of the total contract cost or $2500.  </w:t>
      </w:r>
      <w:r w:rsidR="00A51042" w:rsidRPr="00F04DB8">
        <w:t xml:space="preserve">Does </w:t>
      </w:r>
      <w:r w:rsidRPr="00F04DB8">
        <w:t xml:space="preserve">this </w:t>
      </w:r>
      <w:r w:rsidR="00A51042" w:rsidRPr="00F04DB8">
        <w:t>“</w:t>
      </w:r>
      <w:r w:rsidRPr="00F04DB8">
        <w:t>contract cost</w:t>
      </w:r>
      <w:r w:rsidR="00A51042" w:rsidRPr="00F04DB8">
        <w:t>”</w:t>
      </w:r>
      <w:r w:rsidRPr="00F04DB8">
        <w:t xml:space="preserve"> refer to the entire Federal</w:t>
      </w:r>
      <w:r w:rsidR="00A51042" w:rsidRPr="00F04DB8">
        <w:t>-</w:t>
      </w:r>
      <w:r w:rsidRPr="00F04DB8">
        <w:t xml:space="preserve">aid construction project or </w:t>
      </w:r>
      <w:proofErr w:type="gramStart"/>
      <w:r w:rsidRPr="00F04DB8">
        <w:t>is the contract cost</w:t>
      </w:r>
      <w:proofErr w:type="gramEnd"/>
      <w:r w:rsidRPr="00F04DB8">
        <w:t xml:space="preserve"> refer</w:t>
      </w:r>
      <w:r w:rsidR="00A51042" w:rsidRPr="00F04DB8">
        <w:t>ring</w:t>
      </w:r>
      <w:r w:rsidRPr="00F04DB8">
        <w:t xml:space="preserve"> to the utility portion of the project?</w:t>
      </w:r>
    </w:p>
    <w:sectPr w:rsidR="004969FB" w:rsidRPr="00F04DB8" w:rsidSect="000D5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67" w:rsidRDefault="001F2467" w:rsidP="0059581B">
      <w:pPr>
        <w:spacing w:after="0" w:line="240" w:lineRule="auto"/>
      </w:pPr>
      <w:r>
        <w:separator/>
      </w:r>
    </w:p>
  </w:endnote>
  <w:endnote w:type="continuationSeparator" w:id="0">
    <w:p w:rsidR="001F2467" w:rsidRDefault="001F2467" w:rsidP="0059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BF" w:rsidRDefault="00CD7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BF" w:rsidRDefault="00CD7B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BF" w:rsidRDefault="00CD7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67" w:rsidRDefault="001F2467" w:rsidP="0059581B">
      <w:pPr>
        <w:spacing w:after="0" w:line="240" w:lineRule="auto"/>
      </w:pPr>
      <w:r>
        <w:separator/>
      </w:r>
    </w:p>
  </w:footnote>
  <w:footnote w:type="continuationSeparator" w:id="0">
    <w:p w:rsidR="001F2467" w:rsidRDefault="001F2467" w:rsidP="0059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BF" w:rsidRDefault="00CD7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43062553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59581B" w:rsidRDefault="0059581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 w:rsidR="000D5400">
          <w:fldChar w:fldCharType="begin"/>
        </w:r>
        <w:r>
          <w:instrText xml:space="preserve"> PAGE   \* MERGEFORMAT </w:instrText>
        </w:r>
        <w:r w:rsidR="000D5400">
          <w:fldChar w:fldCharType="separate"/>
        </w:r>
        <w:r w:rsidR="00CD7BBF" w:rsidRPr="00CD7BBF">
          <w:rPr>
            <w:b/>
            <w:bCs/>
            <w:noProof/>
          </w:rPr>
          <w:t>1</w:t>
        </w:r>
        <w:r w:rsidR="000D5400">
          <w:rPr>
            <w:b/>
            <w:bCs/>
            <w:noProof/>
          </w:rPr>
          <w:fldChar w:fldCharType="end"/>
        </w:r>
      </w:p>
    </w:sdtContent>
  </w:sdt>
  <w:p w:rsidR="0059581B" w:rsidRPr="008F23F5" w:rsidRDefault="00CD7BBF" w:rsidP="008F23F5">
    <w:pPr>
      <w:pStyle w:val="Header"/>
      <w:jc w:val="right"/>
      <w:rPr>
        <w:i/>
        <w:sz w:val="20"/>
      </w:rPr>
    </w:pPr>
    <w:r>
      <w:rPr>
        <w:i/>
        <w:sz w:val="20"/>
      </w:rPr>
      <w:t xml:space="preserve">Buy America Working Group </w:t>
    </w:r>
    <w:bookmarkStart w:id="0" w:name="_GoBack"/>
    <w:bookmarkEnd w:id="0"/>
    <w:r w:rsidR="008F23F5" w:rsidRPr="008F23F5">
      <w:rPr>
        <w:i/>
        <w:sz w:val="20"/>
      </w:rPr>
      <w:t xml:space="preserve">Draft, November </w:t>
    </w:r>
    <w:r w:rsidR="00E25626">
      <w:rPr>
        <w:i/>
        <w:sz w:val="20"/>
      </w:rPr>
      <w:t>12</w:t>
    </w:r>
    <w:r w:rsidR="008F23F5" w:rsidRPr="008F23F5">
      <w:rPr>
        <w:i/>
        <w:sz w:val="20"/>
      </w:rPr>
      <w:t>,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BF" w:rsidRDefault="00CD7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F3B"/>
    <w:multiLevelType w:val="hybridMultilevel"/>
    <w:tmpl w:val="8C5E91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2FB4"/>
    <w:multiLevelType w:val="hybridMultilevel"/>
    <w:tmpl w:val="8DA8D8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2F0B7C38"/>
    <w:multiLevelType w:val="hybridMultilevel"/>
    <w:tmpl w:val="FEE8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5A78"/>
    <w:multiLevelType w:val="hybridMultilevel"/>
    <w:tmpl w:val="C2DC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76AC0"/>
    <w:multiLevelType w:val="hybridMultilevel"/>
    <w:tmpl w:val="3E84E2A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674F07E5"/>
    <w:multiLevelType w:val="hybridMultilevel"/>
    <w:tmpl w:val="B8D6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12ACC"/>
    <w:multiLevelType w:val="hybridMultilevel"/>
    <w:tmpl w:val="45E4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CF"/>
    <w:rsid w:val="00007307"/>
    <w:rsid w:val="00033866"/>
    <w:rsid w:val="000411C0"/>
    <w:rsid w:val="000465EE"/>
    <w:rsid w:val="00047D3E"/>
    <w:rsid w:val="000544CD"/>
    <w:rsid w:val="000624CF"/>
    <w:rsid w:val="00084BF9"/>
    <w:rsid w:val="00084CA5"/>
    <w:rsid w:val="000A0EF4"/>
    <w:rsid w:val="000A6BBA"/>
    <w:rsid w:val="000D5400"/>
    <w:rsid w:val="001750CF"/>
    <w:rsid w:val="001D5C1A"/>
    <w:rsid w:val="001F2467"/>
    <w:rsid w:val="002100C2"/>
    <w:rsid w:val="00210C6B"/>
    <w:rsid w:val="002301D4"/>
    <w:rsid w:val="00233175"/>
    <w:rsid w:val="002463BF"/>
    <w:rsid w:val="00256B8A"/>
    <w:rsid w:val="00265411"/>
    <w:rsid w:val="002750B4"/>
    <w:rsid w:val="002A25AC"/>
    <w:rsid w:val="002B4C99"/>
    <w:rsid w:val="002B7C69"/>
    <w:rsid w:val="002C4BBB"/>
    <w:rsid w:val="002D18E3"/>
    <w:rsid w:val="002D2DCB"/>
    <w:rsid w:val="00341A6A"/>
    <w:rsid w:val="00382292"/>
    <w:rsid w:val="0038646E"/>
    <w:rsid w:val="003B1DE0"/>
    <w:rsid w:val="003B5892"/>
    <w:rsid w:val="004002F9"/>
    <w:rsid w:val="00442D4C"/>
    <w:rsid w:val="00483B8C"/>
    <w:rsid w:val="00494787"/>
    <w:rsid w:val="004969FB"/>
    <w:rsid w:val="00497E0F"/>
    <w:rsid w:val="004B46A3"/>
    <w:rsid w:val="00517E55"/>
    <w:rsid w:val="00530BE7"/>
    <w:rsid w:val="00537C67"/>
    <w:rsid w:val="00553135"/>
    <w:rsid w:val="00574A95"/>
    <w:rsid w:val="00581E40"/>
    <w:rsid w:val="0059581B"/>
    <w:rsid w:val="005D641B"/>
    <w:rsid w:val="005D7C31"/>
    <w:rsid w:val="0060575F"/>
    <w:rsid w:val="00610922"/>
    <w:rsid w:val="00620089"/>
    <w:rsid w:val="006208EA"/>
    <w:rsid w:val="00644775"/>
    <w:rsid w:val="006607B5"/>
    <w:rsid w:val="006643C6"/>
    <w:rsid w:val="00673F7D"/>
    <w:rsid w:val="0068209D"/>
    <w:rsid w:val="00691F90"/>
    <w:rsid w:val="006A5DBB"/>
    <w:rsid w:val="006C405D"/>
    <w:rsid w:val="006C6CCA"/>
    <w:rsid w:val="0070572F"/>
    <w:rsid w:val="0072069A"/>
    <w:rsid w:val="00724314"/>
    <w:rsid w:val="00737D7B"/>
    <w:rsid w:val="007459A1"/>
    <w:rsid w:val="00761992"/>
    <w:rsid w:val="007773B5"/>
    <w:rsid w:val="0079140E"/>
    <w:rsid w:val="007E59AB"/>
    <w:rsid w:val="00805C55"/>
    <w:rsid w:val="008236FF"/>
    <w:rsid w:val="00870C6E"/>
    <w:rsid w:val="008B3F0F"/>
    <w:rsid w:val="008C4AD8"/>
    <w:rsid w:val="008C6A36"/>
    <w:rsid w:val="008F23F5"/>
    <w:rsid w:val="0091651D"/>
    <w:rsid w:val="009737A2"/>
    <w:rsid w:val="009864C0"/>
    <w:rsid w:val="009964A6"/>
    <w:rsid w:val="009C1D97"/>
    <w:rsid w:val="009D7525"/>
    <w:rsid w:val="009E6130"/>
    <w:rsid w:val="00A005FE"/>
    <w:rsid w:val="00A21C7C"/>
    <w:rsid w:val="00A51042"/>
    <w:rsid w:val="00A53228"/>
    <w:rsid w:val="00A64A63"/>
    <w:rsid w:val="00A6631C"/>
    <w:rsid w:val="00A73017"/>
    <w:rsid w:val="00A9518C"/>
    <w:rsid w:val="00AB289B"/>
    <w:rsid w:val="00AC4502"/>
    <w:rsid w:val="00AD60EB"/>
    <w:rsid w:val="00AD78D1"/>
    <w:rsid w:val="00B06C7E"/>
    <w:rsid w:val="00B10582"/>
    <w:rsid w:val="00B10862"/>
    <w:rsid w:val="00B44F05"/>
    <w:rsid w:val="00B62698"/>
    <w:rsid w:val="00B6357D"/>
    <w:rsid w:val="00B73EE2"/>
    <w:rsid w:val="00BA6316"/>
    <w:rsid w:val="00BA7363"/>
    <w:rsid w:val="00BB2CE3"/>
    <w:rsid w:val="00BB3D4F"/>
    <w:rsid w:val="00BB4408"/>
    <w:rsid w:val="00BD4359"/>
    <w:rsid w:val="00BE57D8"/>
    <w:rsid w:val="00BF57E8"/>
    <w:rsid w:val="00C04303"/>
    <w:rsid w:val="00C42C07"/>
    <w:rsid w:val="00C45395"/>
    <w:rsid w:val="00C45AAF"/>
    <w:rsid w:val="00C858E4"/>
    <w:rsid w:val="00C96CD5"/>
    <w:rsid w:val="00CD7BBF"/>
    <w:rsid w:val="00CE09CB"/>
    <w:rsid w:val="00CF53E7"/>
    <w:rsid w:val="00D06DF8"/>
    <w:rsid w:val="00D27D53"/>
    <w:rsid w:val="00D4155B"/>
    <w:rsid w:val="00D44B8C"/>
    <w:rsid w:val="00D5720E"/>
    <w:rsid w:val="00DA4FB5"/>
    <w:rsid w:val="00DC333E"/>
    <w:rsid w:val="00DC3E82"/>
    <w:rsid w:val="00DC69D1"/>
    <w:rsid w:val="00DF46A1"/>
    <w:rsid w:val="00E21B96"/>
    <w:rsid w:val="00E22516"/>
    <w:rsid w:val="00E25626"/>
    <w:rsid w:val="00E27E6F"/>
    <w:rsid w:val="00E30285"/>
    <w:rsid w:val="00E35AFA"/>
    <w:rsid w:val="00E54556"/>
    <w:rsid w:val="00E82AF1"/>
    <w:rsid w:val="00E923AE"/>
    <w:rsid w:val="00E94874"/>
    <w:rsid w:val="00EB5A6C"/>
    <w:rsid w:val="00EC2707"/>
    <w:rsid w:val="00ED3D28"/>
    <w:rsid w:val="00ED525D"/>
    <w:rsid w:val="00ED768B"/>
    <w:rsid w:val="00EE67EA"/>
    <w:rsid w:val="00EF5542"/>
    <w:rsid w:val="00F04DB8"/>
    <w:rsid w:val="00F254D1"/>
    <w:rsid w:val="00F40819"/>
    <w:rsid w:val="00F566A6"/>
    <w:rsid w:val="00F70BD2"/>
    <w:rsid w:val="00F7239B"/>
    <w:rsid w:val="00F84DD6"/>
    <w:rsid w:val="00FA067D"/>
    <w:rsid w:val="00FA3926"/>
    <w:rsid w:val="00FA79F9"/>
    <w:rsid w:val="00FC5D42"/>
    <w:rsid w:val="00FE6954"/>
    <w:rsid w:val="00FE7B25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08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7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1B"/>
  </w:style>
  <w:style w:type="paragraph" w:styleId="Footer">
    <w:name w:val="footer"/>
    <w:basedOn w:val="Normal"/>
    <w:link w:val="FooterChar"/>
    <w:uiPriority w:val="99"/>
    <w:unhideWhenUsed/>
    <w:rsid w:val="0059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08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7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1B"/>
  </w:style>
  <w:style w:type="paragraph" w:styleId="Footer">
    <w:name w:val="footer"/>
    <w:basedOn w:val="Normal"/>
    <w:link w:val="FooterChar"/>
    <w:uiPriority w:val="99"/>
    <w:unhideWhenUsed/>
    <w:rsid w:val="0059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jmcdonnell</dc:creator>
  <cp:lastModifiedBy>Holt, Rob</cp:lastModifiedBy>
  <cp:revision>3</cp:revision>
  <dcterms:created xsi:type="dcterms:W3CDTF">2013-11-12T15:08:00Z</dcterms:created>
  <dcterms:modified xsi:type="dcterms:W3CDTF">2013-11-15T14:24:00Z</dcterms:modified>
</cp:coreProperties>
</file>