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FC" w:rsidRDefault="009A02FC" w:rsidP="009A02FC">
      <w:pPr>
        <w:spacing w:after="0" w:line="240" w:lineRule="auto"/>
        <w:jc w:val="center"/>
        <w:rPr>
          <w:rFonts w:eastAsia="Times New Roman" w:cs="Calibri"/>
          <w:b/>
          <w:sz w:val="28"/>
          <w:szCs w:val="28"/>
        </w:rPr>
      </w:pPr>
      <w:r w:rsidRPr="00FC54FC">
        <w:rPr>
          <w:rFonts w:eastAsia="Times New Roman" w:cs="Calibri"/>
          <w:sz w:val="28"/>
          <w:szCs w:val="28"/>
        </w:rPr>
        <w:fldChar w:fldCharType="begin"/>
      </w:r>
      <w:r w:rsidRPr="00FC54FC">
        <w:rPr>
          <w:rFonts w:eastAsia="Times New Roman" w:cs="Calibri"/>
          <w:sz w:val="28"/>
          <w:szCs w:val="28"/>
        </w:rPr>
        <w:instrText xml:space="preserve"> SEQ CHAPTER \h \r 1</w:instrText>
      </w:r>
      <w:r w:rsidRPr="00FC54FC">
        <w:rPr>
          <w:rFonts w:eastAsia="Times New Roman" w:cs="Calibri"/>
          <w:sz w:val="28"/>
          <w:szCs w:val="28"/>
        </w:rPr>
        <w:fldChar w:fldCharType="end"/>
      </w:r>
      <w:r w:rsidRPr="00FC54FC">
        <w:rPr>
          <w:rFonts w:eastAsia="Times New Roman" w:cs="Calibri"/>
          <w:b/>
          <w:sz w:val="28"/>
          <w:szCs w:val="28"/>
        </w:rPr>
        <w:t xml:space="preserve">FECA Florida Legislative Report </w:t>
      </w:r>
      <w:r w:rsidR="00F541DB">
        <w:rPr>
          <w:rFonts w:eastAsia="Times New Roman" w:cs="Calibri"/>
          <w:b/>
          <w:sz w:val="28"/>
          <w:szCs w:val="28"/>
        </w:rPr>
        <w:t>April 1</w:t>
      </w:r>
      <w:r w:rsidR="007811E0">
        <w:rPr>
          <w:rFonts w:eastAsia="Times New Roman" w:cs="Calibri"/>
          <w:b/>
          <w:sz w:val="28"/>
          <w:szCs w:val="28"/>
        </w:rPr>
        <w:t>, 2011</w:t>
      </w:r>
    </w:p>
    <w:p w:rsidR="0058389F" w:rsidRPr="00FC54FC" w:rsidRDefault="0058389F" w:rsidP="009A02FC">
      <w:pPr>
        <w:spacing w:after="0" w:line="240" w:lineRule="auto"/>
        <w:jc w:val="center"/>
        <w:rPr>
          <w:rFonts w:eastAsia="Times New Roman" w:cs="Calibri"/>
          <w:b/>
          <w:sz w:val="28"/>
          <w:szCs w:val="28"/>
          <w:u w:val="single"/>
        </w:rPr>
      </w:pPr>
    </w:p>
    <w:p w:rsidR="009A6A33" w:rsidRDefault="006E6C72" w:rsidP="00530FB9">
      <w:pPr>
        <w:ind w:firstLine="720"/>
        <w:rPr>
          <w:rFonts w:cs="Calibri"/>
          <w:sz w:val="28"/>
          <w:szCs w:val="28"/>
        </w:rPr>
      </w:pPr>
      <w:r>
        <w:rPr>
          <w:rFonts w:cs="Calibri"/>
          <w:sz w:val="28"/>
          <w:szCs w:val="28"/>
        </w:rPr>
        <w:t xml:space="preserve">There has been a lot of activity since our last report.  </w:t>
      </w:r>
      <w:r w:rsidR="00BA3186">
        <w:rPr>
          <w:rFonts w:cs="Calibri"/>
          <w:sz w:val="28"/>
          <w:szCs w:val="28"/>
        </w:rPr>
        <w:t>A few</w:t>
      </w:r>
      <w:r w:rsidR="00F541DB">
        <w:rPr>
          <w:rFonts w:cs="Calibri"/>
          <w:sz w:val="28"/>
          <w:szCs w:val="28"/>
        </w:rPr>
        <w:t xml:space="preserve"> House bills have been filed</w:t>
      </w:r>
      <w:r w:rsidR="00BA3186">
        <w:rPr>
          <w:rFonts w:cs="Calibri"/>
          <w:sz w:val="28"/>
          <w:szCs w:val="28"/>
        </w:rPr>
        <w:t xml:space="preserve"> and</w:t>
      </w:r>
      <w:r w:rsidR="00F541DB">
        <w:rPr>
          <w:rFonts w:cs="Calibri"/>
          <w:sz w:val="28"/>
          <w:szCs w:val="28"/>
        </w:rPr>
        <w:t xml:space="preserve"> passed out of one or two committees </w:t>
      </w:r>
      <w:r w:rsidR="004D4605">
        <w:rPr>
          <w:rFonts w:cs="Calibri"/>
          <w:sz w:val="28"/>
          <w:szCs w:val="28"/>
        </w:rPr>
        <w:t xml:space="preserve">since the last report </w:t>
      </w:r>
      <w:r w:rsidR="00F541DB">
        <w:rPr>
          <w:rFonts w:cs="Calibri"/>
          <w:sz w:val="28"/>
          <w:szCs w:val="28"/>
        </w:rPr>
        <w:t xml:space="preserve">and already are headed to the House floor.  We </w:t>
      </w:r>
      <w:r w:rsidR="00AA7D5D">
        <w:rPr>
          <w:rFonts w:cs="Calibri"/>
          <w:sz w:val="28"/>
          <w:szCs w:val="28"/>
        </w:rPr>
        <w:t>now</w:t>
      </w:r>
      <w:r w:rsidR="00F541DB">
        <w:rPr>
          <w:rFonts w:cs="Calibri"/>
          <w:sz w:val="28"/>
          <w:szCs w:val="28"/>
        </w:rPr>
        <w:t xml:space="preserve"> have an energy bill in both chambers</w:t>
      </w:r>
      <w:r w:rsidR="00AA7D5D">
        <w:rPr>
          <w:rFonts w:cs="Calibri"/>
          <w:sz w:val="28"/>
          <w:szCs w:val="28"/>
        </w:rPr>
        <w:t>, SB 2078 and ENUS</w:t>
      </w:r>
      <w:r w:rsidR="004D4605">
        <w:rPr>
          <w:rFonts w:cs="Calibri"/>
          <w:sz w:val="28"/>
          <w:szCs w:val="28"/>
        </w:rPr>
        <w:t xml:space="preserve"> </w:t>
      </w:r>
      <w:r w:rsidR="00AA7D5D">
        <w:rPr>
          <w:rFonts w:cs="Calibri"/>
          <w:sz w:val="28"/>
          <w:szCs w:val="28"/>
        </w:rPr>
        <w:t>11-01</w:t>
      </w:r>
      <w:r w:rsidR="004D4605">
        <w:rPr>
          <w:rFonts w:cs="Calibri"/>
          <w:sz w:val="28"/>
          <w:szCs w:val="28"/>
        </w:rPr>
        <w:t xml:space="preserve"> in the House</w:t>
      </w:r>
      <w:r w:rsidR="00AA7D5D">
        <w:rPr>
          <w:rFonts w:cs="Calibri"/>
          <w:sz w:val="28"/>
          <w:szCs w:val="28"/>
        </w:rPr>
        <w:t xml:space="preserve">, and </w:t>
      </w:r>
      <w:r w:rsidR="004D4605">
        <w:rPr>
          <w:rFonts w:cs="Calibri"/>
          <w:sz w:val="28"/>
          <w:szCs w:val="28"/>
        </w:rPr>
        <w:t xml:space="preserve">the good news is that </w:t>
      </w:r>
      <w:r w:rsidR="00AA7D5D">
        <w:rPr>
          <w:rFonts w:cs="Calibri"/>
          <w:sz w:val="28"/>
          <w:szCs w:val="28"/>
        </w:rPr>
        <w:t xml:space="preserve">the third party/retail issue </w:t>
      </w:r>
      <w:r w:rsidR="004474BB">
        <w:rPr>
          <w:rFonts w:cs="Calibri"/>
          <w:sz w:val="28"/>
          <w:szCs w:val="28"/>
        </w:rPr>
        <w:t xml:space="preserve">for renewable generators </w:t>
      </w:r>
      <w:r w:rsidR="00AA7D5D">
        <w:rPr>
          <w:rFonts w:cs="Calibri"/>
          <w:sz w:val="28"/>
          <w:szCs w:val="28"/>
        </w:rPr>
        <w:t>is no</w:t>
      </w:r>
      <w:r w:rsidR="004D4605">
        <w:rPr>
          <w:rFonts w:cs="Calibri"/>
          <w:sz w:val="28"/>
          <w:szCs w:val="28"/>
        </w:rPr>
        <w:t xml:space="preserve"> longer </w:t>
      </w:r>
      <w:r w:rsidR="00AA7D5D">
        <w:rPr>
          <w:rFonts w:cs="Calibri"/>
          <w:sz w:val="28"/>
          <w:szCs w:val="28"/>
        </w:rPr>
        <w:t>in either bill.</w:t>
      </w:r>
      <w:r w:rsidR="00F33E44">
        <w:rPr>
          <w:rFonts w:cs="Calibri"/>
          <w:sz w:val="28"/>
          <w:szCs w:val="28"/>
        </w:rPr>
        <w:t xml:space="preserve">  </w:t>
      </w:r>
      <w:r w:rsidR="004D4605">
        <w:rPr>
          <w:rFonts w:cs="Calibri"/>
          <w:sz w:val="28"/>
          <w:szCs w:val="28"/>
        </w:rPr>
        <w:t xml:space="preserve">The Senate’s original draft allowed third parties to sell up to 5 MW of renewable power to a single customer if the generator is on the customer’s property, but that has been deleted and the debate now appears to be focused on whether the IOU’s can self-build renewables or whether they have to go out for bids.  </w:t>
      </w:r>
      <w:r w:rsidR="00790A26">
        <w:rPr>
          <w:rFonts w:cs="Calibri"/>
          <w:sz w:val="28"/>
          <w:szCs w:val="28"/>
        </w:rPr>
        <w:t>We also have been forced to deal with an attack on our pole attachment rates by the telephone and cable industries.  They inserted language into their deregulation bill that would require the Department of Management Services to “</w:t>
      </w:r>
      <w:r w:rsidR="00790A26" w:rsidRPr="00FD1E17">
        <w:rPr>
          <w:color w:val="000000"/>
          <w:sz w:val="28"/>
          <w:szCs w:val="28"/>
        </w:rPr>
        <w:t xml:space="preserve">encourage sustainable adoption of broadband in primarily </w:t>
      </w:r>
      <w:proofErr w:type="spellStart"/>
      <w:r w:rsidR="00790A26" w:rsidRPr="00FD1E17">
        <w:rPr>
          <w:color w:val="000000"/>
          <w:sz w:val="28"/>
          <w:szCs w:val="28"/>
        </w:rPr>
        <w:t>unserved</w:t>
      </w:r>
      <w:proofErr w:type="spellEnd"/>
      <w:r w:rsidR="00790A26" w:rsidRPr="00FD1E17">
        <w:rPr>
          <w:color w:val="000000"/>
          <w:sz w:val="28"/>
          <w:szCs w:val="28"/>
        </w:rPr>
        <w:t xml:space="preserve"> areas by removing barriers to entry, such as unreasonably high pole-attachment rates.”  </w:t>
      </w:r>
      <w:r w:rsidR="00790A26" w:rsidRPr="00790A26">
        <w:rPr>
          <w:rFonts w:cs="Calibri"/>
          <w:sz w:val="28"/>
          <w:szCs w:val="28"/>
        </w:rPr>
        <w:t xml:space="preserve"> </w:t>
      </w:r>
      <w:r w:rsidR="00790A26">
        <w:rPr>
          <w:rFonts w:cs="Calibri"/>
          <w:sz w:val="28"/>
          <w:szCs w:val="28"/>
        </w:rPr>
        <w:t xml:space="preserve">We </w:t>
      </w:r>
      <w:r w:rsidR="004D4605">
        <w:rPr>
          <w:rFonts w:cs="Calibri"/>
          <w:sz w:val="28"/>
          <w:szCs w:val="28"/>
        </w:rPr>
        <w:t xml:space="preserve">have deleted </w:t>
      </w:r>
      <w:r w:rsidR="00790A26">
        <w:rPr>
          <w:rFonts w:cs="Calibri"/>
          <w:sz w:val="28"/>
          <w:szCs w:val="28"/>
        </w:rPr>
        <w:t>the phrase “</w:t>
      </w:r>
      <w:r w:rsidR="00790A26" w:rsidRPr="00310E79">
        <w:rPr>
          <w:color w:val="000000"/>
          <w:sz w:val="28"/>
          <w:szCs w:val="28"/>
        </w:rPr>
        <w:t>such as unreasonably high pole-attachment rates</w:t>
      </w:r>
      <w:r w:rsidR="00790A26">
        <w:rPr>
          <w:color w:val="000000"/>
          <w:sz w:val="28"/>
          <w:szCs w:val="28"/>
        </w:rPr>
        <w:t>”</w:t>
      </w:r>
      <w:r w:rsidR="00790A26">
        <w:rPr>
          <w:rFonts w:cs="Calibri"/>
          <w:sz w:val="28"/>
          <w:szCs w:val="28"/>
        </w:rPr>
        <w:t xml:space="preserve"> from the Senate bill</w:t>
      </w:r>
      <w:r w:rsidR="004D4605">
        <w:rPr>
          <w:rFonts w:cs="Calibri"/>
          <w:sz w:val="28"/>
          <w:szCs w:val="28"/>
        </w:rPr>
        <w:t xml:space="preserve"> and believe we have a deal to do the same in the House</w:t>
      </w:r>
      <w:r w:rsidR="00790A26">
        <w:rPr>
          <w:rFonts w:cs="Calibri"/>
          <w:sz w:val="28"/>
          <w:szCs w:val="28"/>
        </w:rPr>
        <w:t>.</w:t>
      </w:r>
      <w:r w:rsidR="00BA3186">
        <w:rPr>
          <w:rFonts w:cs="Calibri"/>
          <w:sz w:val="28"/>
          <w:szCs w:val="28"/>
        </w:rPr>
        <w:t xml:space="preserve">  </w:t>
      </w:r>
    </w:p>
    <w:p w:rsidR="00FD1F73" w:rsidRDefault="0058389F" w:rsidP="00AC2564">
      <w:pPr>
        <w:rPr>
          <w:rFonts w:cs="Calibri"/>
          <w:sz w:val="28"/>
          <w:szCs w:val="28"/>
        </w:rPr>
      </w:pPr>
      <w:r>
        <w:rPr>
          <w:rFonts w:cs="Calibri"/>
          <w:sz w:val="28"/>
          <w:szCs w:val="28"/>
        </w:rPr>
        <w:tab/>
      </w:r>
      <w:r w:rsidR="000827BF">
        <w:rPr>
          <w:rFonts w:cs="Calibri"/>
          <w:sz w:val="28"/>
          <w:szCs w:val="28"/>
        </w:rPr>
        <w:t xml:space="preserve">The bills that </w:t>
      </w:r>
      <w:r w:rsidR="00445066">
        <w:rPr>
          <w:rFonts w:cs="Calibri"/>
          <w:sz w:val="28"/>
          <w:szCs w:val="28"/>
        </w:rPr>
        <w:t>are</w:t>
      </w:r>
      <w:r w:rsidR="00D00568">
        <w:rPr>
          <w:rFonts w:cs="Calibri"/>
          <w:sz w:val="28"/>
          <w:szCs w:val="28"/>
        </w:rPr>
        <w:t xml:space="preserve"> of concern to c</w:t>
      </w:r>
      <w:r w:rsidR="000827BF">
        <w:rPr>
          <w:rFonts w:cs="Calibri"/>
          <w:sz w:val="28"/>
          <w:szCs w:val="28"/>
        </w:rPr>
        <w:t>o-</w:t>
      </w:r>
      <w:r w:rsidR="006426A7">
        <w:rPr>
          <w:rFonts w:cs="Calibri"/>
          <w:sz w:val="28"/>
          <w:szCs w:val="28"/>
        </w:rPr>
        <w:t>ops are listed below</w:t>
      </w:r>
      <w:r w:rsidR="000827BF">
        <w:rPr>
          <w:rFonts w:cs="Calibri"/>
          <w:sz w:val="28"/>
          <w:szCs w:val="28"/>
        </w:rPr>
        <w:t>.</w:t>
      </w:r>
      <w:r w:rsidR="00EA7F1D">
        <w:rPr>
          <w:rFonts w:cs="Calibri"/>
          <w:sz w:val="28"/>
          <w:szCs w:val="28"/>
        </w:rPr>
        <w:t xml:space="preserve">  M</w:t>
      </w:r>
      <w:r w:rsidR="00D648DC">
        <w:rPr>
          <w:rFonts w:cs="Calibri"/>
          <w:sz w:val="28"/>
          <w:szCs w:val="28"/>
        </w:rPr>
        <w:t xml:space="preserve">ore information on each bill can be found by visiting either </w:t>
      </w:r>
      <w:hyperlink r:id="rId8" w:history="1">
        <w:r w:rsidR="00D648DC" w:rsidRPr="00E138D9">
          <w:rPr>
            <w:rStyle w:val="Hyperlink"/>
            <w:rFonts w:cs="Calibri"/>
            <w:sz w:val="28"/>
            <w:szCs w:val="28"/>
          </w:rPr>
          <w:t>www.myfloridahouse.gov</w:t>
        </w:r>
      </w:hyperlink>
      <w:r w:rsidR="00D648DC">
        <w:rPr>
          <w:rFonts w:cs="Calibri"/>
          <w:sz w:val="28"/>
          <w:szCs w:val="28"/>
        </w:rPr>
        <w:t xml:space="preserve"> or </w:t>
      </w:r>
      <w:hyperlink r:id="rId9" w:history="1">
        <w:r w:rsidR="00D648DC" w:rsidRPr="00E138D9">
          <w:rPr>
            <w:rStyle w:val="Hyperlink"/>
            <w:rFonts w:cs="Calibri"/>
            <w:sz w:val="28"/>
            <w:szCs w:val="28"/>
          </w:rPr>
          <w:t>www.flsenate.gov</w:t>
        </w:r>
      </w:hyperlink>
      <w:r w:rsidR="00D648DC">
        <w:rPr>
          <w:rFonts w:cs="Calibri"/>
          <w:sz w:val="28"/>
          <w:szCs w:val="28"/>
        </w:rPr>
        <w:t xml:space="preserve">.  </w:t>
      </w:r>
    </w:p>
    <w:p w:rsidR="00BA3186" w:rsidRDefault="00AE3210" w:rsidP="004D4605">
      <w:pPr>
        <w:rPr>
          <w:rFonts w:cs="Calibri"/>
          <w:b/>
          <w:sz w:val="28"/>
          <w:szCs w:val="28"/>
          <w:u w:val="single"/>
        </w:rPr>
      </w:pPr>
      <w:r w:rsidRPr="0004263D">
        <w:rPr>
          <w:rFonts w:cs="Calibri"/>
          <w:b/>
          <w:sz w:val="28"/>
          <w:szCs w:val="28"/>
          <w:u w:val="single"/>
        </w:rPr>
        <w:t>New Bills</w:t>
      </w:r>
      <w:r w:rsidR="009A02FC">
        <w:rPr>
          <w:rFonts w:cs="Calibri"/>
          <w:b/>
          <w:sz w:val="28"/>
          <w:szCs w:val="28"/>
          <w:u w:val="single"/>
        </w:rPr>
        <w:t xml:space="preserve"> of Interest to Co-ops</w:t>
      </w:r>
    </w:p>
    <w:p w:rsidR="004D4605" w:rsidRDefault="005902FA" w:rsidP="004D4605">
      <w:pPr>
        <w:rPr>
          <w:rFonts w:eastAsia="Times New Roman" w:cs="Calibri"/>
          <w:color w:val="000000"/>
          <w:sz w:val="28"/>
          <w:szCs w:val="28"/>
        </w:rPr>
      </w:pPr>
      <w:r w:rsidRPr="004D4605">
        <w:rPr>
          <w:rFonts w:eastAsia="Times New Roman" w:cs="Calibri"/>
          <w:color w:val="000000"/>
          <w:sz w:val="28"/>
          <w:szCs w:val="28"/>
          <w:u w:val="single"/>
        </w:rPr>
        <w:t>House Energy Bill</w:t>
      </w:r>
      <w:r w:rsidR="00496BC7">
        <w:rPr>
          <w:rFonts w:eastAsia="Times New Roman" w:cs="Calibri"/>
          <w:color w:val="000000"/>
          <w:sz w:val="28"/>
          <w:szCs w:val="28"/>
        </w:rPr>
        <w:t xml:space="preserve"> </w:t>
      </w:r>
      <w:r w:rsidR="00480B19">
        <w:rPr>
          <w:rFonts w:eastAsia="Times New Roman" w:cs="Calibri"/>
          <w:color w:val="000000"/>
          <w:sz w:val="28"/>
          <w:szCs w:val="28"/>
        </w:rPr>
        <w:t>- PCB ENUS-11-01</w:t>
      </w:r>
      <w:r w:rsidRPr="003E0BC2">
        <w:rPr>
          <w:rFonts w:eastAsia="Times New Roman" w:cs="Calibri"/>
          <w:color w:val="000000"/>
          <w:sz w:val="28"/>
          <w:szCs w:val="28"/>
        </w:rPr>
        <w:t xml:space="preserve"> </w:t>
      </w:r>
      <w:r w:rsidR="00480B19">
        <w:rPr>
          <w:rFonts w:eastAsia="Times New Roman" w:cs="Calibri"/>
          <w:color w:val="000000"/>
          <w:sz w:val="28"/>
          <w:szCs w:val="28"/>
        </w:rPr>
        <w:t>would s</w:t>
      </w:r>
      <w:r w:rsidRPr="00480B19">
        <w:rPr>
          <w:rFonts w:eastAsia="Times New Roman" w:cs="Calibri"/>
          <w:color w:val="000000"/>
          <w:sz w:val="28"/>
          <w:szCs w:val="28"/>
        </w:rPr>
        <w:t xml:space="preserve">treamline the State’s energy policy and prioritize the goals </w:t>
      </w:r>
      <w:r w:rsidR="008568FE">
        <w:rPr>
          <w:rFonts w:eastAsia="Times New Roman" w:cs="Calibri"/>
          <w:color w:val="000000"/>
          <w:sz w:val="28"/>
          <w:szCs w:val="28"/>
        </w:rPr>
        <w:t xml:space="preserve">- </w:t>
      </w:r>
      <w:r w:rsidR="00480B19">
        <w:rPr>
          <w:rFonts w:eastAsia="Times New Roman" w:cs="Calibri"/>
          <w:color w:val="000000"/>
          <w:sz w:val="28"/>
          <w:szCs w:val="28"/>
        </w:rPr>
        <w:t xml:space="preserve">with affordability being the first </w:t>
      </w:r>
      <w:r w:rsidR="00591E44">
        <w:rPr>
          <w:rFonts w:eastAsia="Times New Roman" w:cs="Calibri"/>
          <w:color w:val="000000"/>
          <w:sz w:val="28"/>
          <w:szCs w:val="28"/>
        </w:rPr>
        <w:t xml:space="preserve">priority </w:t>
      </w:r>
      <w:r w:rsidR="00480B19">
        <w:rPr>
          <w:rFonts w:eastAsia="Times New Roman" w:cs="Calibri"/>
          <w:color w:val="000000"/>
          <w:sz w:val="28"/>
          <w:szCs w:val="28"/>
        </w:rPr>
        <w:t>goal</w:t>
      </w:r>
      <w:r w:rsidR="00591E44">
        <w:rPr>
          <w:rFonts w:eastAsia="Times New Roman" w:cs="Calibri"/>
          <w:color w:val="000000"/>
          <w:sz w:val="28"/>
          <w:szCs w:val="28"/>
        </w:rPr>
        <w:t>.  At this time the bill does not address third party sales to retail customers</w:t>
      </w:r>
      <w:r w:rsidR="004474BB">
        <w:rPr>
          <w:rFonts w:eastAsia="Times New Roman" w:cs="Calibri"/>
          <w:color w:val="000000"/>
          <w:sz w:val="28"/>
          <w:szCs w:val="28"/>
        </w:rPr>
        <w:t xml:space="preserve"> by renewable generators</w:t>
      </w:r>
      <w:r w:rsidR="00591E44">
        <w:rPr>
          <w:rFonts w:eastAsia="Times New Roman" w:cs="Calibri"/>
          <w:color w:val="000000"/>
          <w:sz w:val="28"/>
          <w:szCs w:val="28"/>
        </w:rPr>
        <w:t xml:space="preserve">.  The bill would exempt all solar generation from the Power Plant Siting Act and would abolish the </w:t>
      </w:r>
      <w:r w:rsidR="00591E44" w:rsidRPr="00480B19">
        <w:rPr>
          <w:rFonts w:eastAsia="Times New Roman" w:cs="Calibri"/>
          <w:color w:val="000000"/>
          <w:sz w:val="28"/>
          <w:szCs w:val="28"/>
        </w:rPr>
        <w:t xml:space="preserve">Florida Energy and Climate Commission and </w:t>
      </w:r>
      <w:r w:rsidR="00591E44">
        <w:rPr>
          <w:rFonts w:eastAsia="Times New Roman" w:cs="Calibri"/>
          <w:color w:val="000000"/>
          <w:sz w:val="28"/>
          <w:szCs w:val="28"/>
        </w:rPr>
        <w:t>transfer</w:t>
      </w:r>
      <w:r w:rsidR="00591E44" w:rsidRPr="00480B19">
        <w:rPr>
          <w:rFonts w:eastAsia="Times New Roman" w:cs="Calibri"/>
          <w:color w:val="000000"/>
          <w:sz w:val="28"/>
          <w:szCs w:val="28"/>
        </w:rPr>
        <w:t xml:space="preserve"> its powers and duties to the Department of Agriculture and Consumer Services</w:t>
      </w:r>
      <w:r w:rsidR="00591E44">
        <w:rPr>
          <w:rFonts w:eastAsia="Times New Roman" w:cs="Calibri"/>
          <w:color w:val="000000"/>
          <w:sz w:val="28"/>
          <w:szCs w:val="28"/>
        </w:rPr>
        <w:t xml:space="preserve">.  In addition, the bill would </w:t>
      </w:r>
      <w:r w:rsidRPr="00480B19">
        <w:rPr>
          <w:rFonts w:eastAsia="Times New Roman" w:cs="Calibri"/>
          <w:color w:val="000000"/>
          <w:sz w:val="28"/>
          <w:szCs w:val="28"/>
        </w:rPr>
        <w:t>allow IOU</w:t>
      </w:r>
      <w:r w:rsidR="00591E44">
        <w:rPr>
          <w:rFonts w:eastAsia="Times New Roman" w:cs="Calibri"/>
          <w:color w:val="000000"/>
          <w:sz w:val="28"/>
          <w:szCs w:val="28"/>
        </w:rPr>
        <w:t xml:space="preserve">s </w:t>
      </w:r>
      <w:r w:rsidRPr="00480B19">
        <w:rPr>
          <w:rFonts w:eastAsia="Times New Roman" w:cs="Calibri"/>
          <w:color w:val="000000"/>
          <w:sz w:val="28"/>
          <w:szCs w:val="28"/>
        </w:rPr>
        <w:t xml:space="preserve">to </w:t>
      </w:r>
      <w:r w:rsidR="00591E44">
        <w:rPr>
          <w:rFonts w:eastAsia="Times New Roman" w:cs="Calibri"/>
          <w:color w:val="000000"/>
          <w:sz w:val="28"/>
          <w:szCs w:val="28"/>
        </w:rPr>
        <w:t>sp</w:t>
      </w:r>
      <w:r w:rsidRPr="00480B19">
        <w:rPr>
          <w:rFonts w:eastAsia="Times New Roman" w:cs="Calibri"/>
          <w:color w:val="000000"/>
          <w:sz w:val="28"/>
          <w:szCs w:val="28"/>
        </w:rPr>
        <w:t xml:space="preserve">end </w:t>
      </w:r>
      <w:r w:rsidR="00591E44">
        <w:rPr>
          <w:rFonts w:eastAsia="Times New Roman" w:cs="Calibri"/>
          <w:color w:val="000000"/>
          <w:sz w:val="28"/>
          <w:szCs w:val="28"/>
        </w:rPr>
        <w:t xml:space="preserve">the equivalent of 2% of their 2010 retail sales on </w:t>
      </w:r>
      <w:r w:rsidRPr="00480B19">
        <w:rPr>
          <w:rFonts w:eastAsia="Times New Roman" w:cs="Calibri"/>
          <w:color w:val="000000"/>
          <w:sz w:val="28"/>
          <w:szCs w:val="28"/>
        </w:rPr>
        <w:t>renewable energy</w:t>
      </w:r>
      <w:r w:rsidR="00591E44">
        <w:rPr>
          <w:rFonts w:eastAsia="Times New Roman" w:cs="Calibri"/>
          <w:color w:val="000000"/>
          <w:sz w:val="28"/>
          <w:szCs w:val="28"/>
        </w:rPr>
        <w:t xml:space="preserve"> for</w:t>
      </w:r>
      <w:r w:rsidRPr="00480B19">
        <w:rPr>
          <w:rFonts w:eastAsia="Times New Roman" w:cs="Calibri"/>
          <w:color w:val="000000"/>
          <w:sz w:val="28"/>
          <w:szCs w:val="28"/>
        </w:rPr>
        <w:t xml:space="preserve"> 5 years. </w:t>
      </w:r>
    </w:p>
    <w:p w:rsidR="006A305F" w:rsidRDefault="005902FA" w:rsidP="004D4605">
      <w:pPr>
        <w:rPr>
          <w:rFonts w:eastAsia="Times New Roman" w:cs="Calibri"/>
          <w:color w:val="000000"/>
          <w:sz w:val="28"/>
          <w:szCs w:val="28"/>
        </w:rPr>
      </w:pPr>
      <w:r w:rsidRPr="004474BB">
        <w:rPr>
          <w:rFonts w:cs="Calibri"/>
          <w:sz w:val="28"/>
          <w:szCs w:val="28"/>
          <w:u w:val="single"/>
        </w:rPr>
        <w:lastRenderedPageBreak/>
        <w:t xml:space="preserve">Senate Energy </w:t>
      </w:r>
      <w:r w:rsidRPr="00BA3186">
        <w:rPr>
          <w:rFonts w:cs="Calibri"/>
          <w:sz w:val="28"/>
          <w:szCs w:val="28"/>
          <w:u w:val="single"/>
        </w:rPr>
        <w:t>Bill</w:t>
      </w:r>
      <w:r w:rsidRPr="004474BB">
        <w:rPr>
          <w:rFonts w:cs="Calibri"/>
          <w:sz w:val="28"/>
          <w:szCs w:val="28"/>
        </w:rPr>
        <w:t xml:space="preserve"> – SB 2078 </w:t>
      </w:r>
      <w:r w:rsidR="006A305F" w:rsidRPr="004474BB">
        <w:rPr>
          <w:rFonts w:cs="Calibri"/>
          <w:sz w:val="28"/>
          <w:szCs w:val="28"/>
        </w:rPr>
        <w:t xml:space="preserve">expands the </w:t>
      </w:r>
      <w:r w:rsidR="00591E44" w:rsidRPr="004474BB">
        <w:rPr>
          <w:rFonts w:cs="Calibri"/>
          <w:sz w:val="28"/>
          <w:szCs w:val="28"/>
        </w:rPr>
        <w:t xml:space="preserve">10-year site plans to include future transmission and distribution corridors </w:t>
      </w:r>
      <w:r w:rsidR="006A305F" w:rsidRPr="004474BB">
        <w:rPr>
          <w:rFonts w:cs="Calibri"/>
          <w:sz w:val="28"/>
          <w:szCs w:val="28"/>
        </w:rPr>
        <w:t>and projected fuels and technologies for the next 20 years.</w:t>
      </w:r>
      <w:r w:rsidR="00C93E04" w:rsidRPr="004474BB">
        <w:rPr>
          <w:rFonts w:cs="Calibri"/>
          <w:sz w:val="28"/>
          <w:szCs w:val="28"/>
        </w:rPr>
        <w:t xml:space="preserve">  The utilities have united to oppose this expansion.  </w:t>
      </w:r>
      <w:r w:rsidR="006A305F" w:rsidRPr="004474BB">
        <w:rPr>
          <w:rFonts w:cs="Calibri"/>
          <w:sz w:val="28"/>
          <w:szCs w:val="28"/>
        </w:rPr>
        <w:t>The bill also appears to require co-ops and municipals to get preapproval from the PSC for renewable generation</w:t>
      </w:r>
      <w:r w:rsidR="00C93E04" w:rsidRPr="004474BB">
        <w:rPr>
          <w:rFonts w:cs="Calibri"/>
          <w:sz w:val="28"/>
          <w:szCs w:val="28"/>
        </w:rPr>
        <w:t>, but the authors have assured us th</w:t>
      </w:r>
      <w:r w:rsidR="004474BB" w:rsidRPr="004474BB">
        <w:rPr>
          <w:rFonts w:cs="Calibri"/>
          <w:sz w:val="28"/>
          <w:szCs w:val="28"/>
        </w:rPr>
        <w:t>is</w:t>
      </w:r>
      <w:r w:rsidR="00C93E04" w:rsidRPr="004474BB">
        <w:rPr>
          <w:rFonts w:cs="Calibri"/>
          <w:sz w:val="28"/>
          <w:szCs w:val="28"/>
        </w:rPr>
        <w:t xml:space="preserve"> was not their intent and we should be able to correct this</w:t>
      </w:r>
      <w:r w:rsidR="006A305F" w:rsidRPr="004474BB">
        <w:rPr>
          <w:rFonts w:cs="Calibri"/>
          <w:sz w:val="28"/>
          <w:szCs w:val="28"/>
        </w:rPr>
        <w:t>.</w:t>
      </w:r>
      <w:r w:rsidR="006A305F" w:rsidRPr="00BA3186">
        <w:rPr>
          <w:rFonts w:cs="Calibri"/>
          <w:sz w:val="28"/>
          <w:szCs w:val="28"/>
        </w:rPr>
        <w:t xml:space="preserve">  </w:t>
      </w:r>
      <w:r w:rsidR="004474BB">
        <w:rPr>
          <w:rFonts w:eastAsia="Times New Roman" w:cs="Calibri"/>
          <w:color w:val="000000"/>
          <w:sz w:val="28"/>
          <w:szCs w:val="28"/>
        </w:rPr>
        <w:t xml:space="preserve">At this time the bill does not address third party sales to retail customers by renewable generators.  </w:t>
      </w:r>
      <w:r w:rsidR="006A305F" w:rsidRPr="00BA3186">
        <w:rPr>
          <w:rFonts w:cs="Calibri"/>
          <w:sz w:val="28"/>
          <w:szCs w:val="28"/>
        </w:rPr>
        <w:t>The IOUs would be r</w:t>
      </w:r>
      <w:r w:rsidRPr="00480B19">
        <w:rPr>
          <w:rFonts w:eastAsia="Times New Roman" w:cs="Calibri"/>
          <w:color w:val="000000"/>
          <w:sz w:val="28"/>
          <w:szCs w:val="28"/>
        </w:rPr>
        <w:t>equire</w:t>
      </w:r>
      <w:r w:rsidR="006A305F">
        <w:rPr>
          <w:rFonts w:eastAsia="Times New Roman" w:cs="Calibri"/>
          <w:color w:val="000000"/>
          <w:sz w:val="28"/>
          <w:szCs w:val="28"/>
        </w:rPr>
        <w:t>d</w:t>
      </w:r>
      <w:r w:rsidRPr="00480B19">
        <w:rPr>
          <w:rFonts w:eastAsia="Times New Roman" w:cs="Calibri"/>
          <w:color w:val="000000"/>
          <w:sz w:val="28"/>
          <w:szCs w:val="28"/>
        </w:rPr>
        <w:t xml:space="preserve"> to conduct a free energy audit of commercial customer</w:t>
      </w:r>
      <w:r w:rsidR="004474BB">
        <w:rPr>
          <w:rFonts w:eastAsia="Times New Roman" w:cs="Calibri"/>
          <w:color w:val="000000"/>
          <w:sz w:val="28"/>
          <w:szCs w:val="28"/>
        </w:rPr>
        <w:t>s</w:t>
      </w:r>
      <w:r w:rsidRPr="00480B19">
        <w:rPr>
          <w:rFonts w:eastAsia="Times New Roman" w:cs="Calibri"/>
          <w:color w:val="000000"/>
          <w:sz w:val="28"/>
          <w:szCs w:val="28"/>
        </w:rPr>
        <w:t xml:space="preserve"> prior to December of 2016.</w:t>
      </w:r>
      <w:r w:rsidR="006A305F">
        <w:rPr>
          <w:rFonts w:eastAsia="Times New Roman" w:cs="Calibri"/>
          <w:color w:val="000000"/>
          <w:sz w:val="28"/>
          <w:szCs w:val="28"/>
        </w:rPr>
        <w:t xml:space="preserve">  It would abolish the </w:t>
      </w:r>
      <w:r w:rsidR="006A305F" w:rsidRPr="00480B19">
        <w:rPr>
          <w:rFonts w:eastAsia="Times New Roman" w:cs="Calibri"/>
          <w:color w:val="000000"/>
          <w:sz w:val="28"/>
          <w:szCs w:val="28"/>
        </w:rPr>
        <w:t xml:space="preserve">Florida Energy and Climate Commission and </w:t>
      </w:r>
      <w:r w:rsidR="006A305F">
        <w:rPr>
          <w:rFonts w:eastAsia="Times New Roman" w:cs="Calibri"/>
          <w:color w:val="000000"/>
          <w:sz w:val="28"/>
          <w:szCs w:val="28"/>
        </w:rPr>
        <w:t>transfer</w:t>
      </w:r>
      <w:r w:rsidR="006A305F" w:rsidRPr="00480B19">
        <w:rPr>
          <w:rFonts w:eastAsia="Times New Roman" w:cs="Calibri"/>
          <w:color w:val="000000"/>
          <w:sz w:val="28"/>
          <w:szCs w:val="28"/>
        </w:rPr>
        <w:t xml:space="preserve"> its powers and duties to the Department of </w:t>
      </w:r>
      <w:r w:rsidR="006A305F">
        <w:rPr>
          <w:rFonts w:eastAsia="Times New Roman" w:cs="Calibri"/>
          <w:color w:val="000000"/>
          <w:sz w:val="28"/>
          <w:szCs w:val="28"/>
        </w:rPr>
        <w:t>Environment Protection</w:t>
      </w:r>
      <w:r w:rsidR="004474BB">
        <w:rPr>
          <w:rFonts w:eastAsia="Times New Roman" w:cs="Calibri"/>
          <w:color w:val="000000"/>
          <w:sz w:val="28"/>
          <w:szCs w:val="28"/>
        </w:rPr>
        <w:t>,</w:t>
      </w:r>
      <w:r w:rsidR="006A305F">
        <w:rPr>
          <w:rFonts w:eastAsia="Times New Roman" w:cs="Calibri"/>
          <w:color w:val="000000"/>
          <w:sz w:val="28"/>
          <w:szCs w:val="28"/>
        </w:rPr>
        <w:t xml:space="preserve"> but would keep the Florida Energy Office as a separate entity with</w:t>
      </w:r>
      <w:r w:rsidR="004474BB">
        <w:rPr>
          <w:rFonts w:eastAsia="Times New Roman" w:cs="Calibri"/>
          <w:color w:val="000000"/>
          <w:sz w:val="28"/>
          <w:szCs w:val="28"/>
        </w:rPr>
        <w:t>in</w:t>
      </w:r>
      <w:r w:rsidR="006A305F">
        <w:rPr>
          <w:rFonts w:eastAsia="Times New Roman" w:cs="Calibri"/>
          <w:color w:val="000000"/>
          <w:sz w:val="28"/>
          <w:szCs w:val="28"/>
        </w:rPr>
        <w:t xml:space="preserve"> DEP.  In addition, the bill would </w:t>
      </w:r>
      <w:r w:rsidR="006A305F" w:rsidRPr="00480B19">
        <w:rPr>
          <w:rFonts w:eastAsia="Times New Roman" w:cs="Calibri"/>
          <w:color w:val="000000"/>
          <w:sz w:val="28"/>
          <w:szCs w:val="28"/>
        </w:rPr>
        <w:t>allow IOU</w:t>
      </w:r>
      <w:r w:rsidR="006A305F">
        <w:rPr>
          <w:rFonts w:eastAsia="Times New Roman" w:cs="Calibri"/>
          <w:color w:val="000000"/>
          <w:sz w:val="28"/>
          <w:szCs w:val="28"/>
        </w:rPr>
        <w:t xml:space="preserve">s </w:t>
      </w:r>
      <w:r w:rsidR="006A305F" w:rsidRPr="00480B19">
        <w:rPr>
          <w:rFonts w:eastAsia="Times New Roman" w:cs="Calibri"/>
          <w:color w:val="000000"/>
          <w:sz w:val="28"/>
          <w:szCs w:val="28"/>
        </w:rPr>
        <w:t xml:space="preserve">to </w:t>
      </w:r>
      <w:r w:rsidR="006A305F">
        <w:rPr>
          <w:rFonts w:eastAsia="Times New Roman" w:cs="Calibri"/>
          <w:color w:val="000000"/>
          <w:sz w:val="28"/>
          <w:szCs w:val="28"/>
        </w:rPr>
        <w:t>sp</w:t>
      </w:r>
      <w:r w:rsidR="006A305F" w:rsidRPr="00480B19">
        <w:rPr>
          <w:rFonts w:eastAsia="Times New Roman" w:cs="Calibri"/>
          <w:color w:val="000000"/>
          <w:sz w:val="28"/>
          <w:szCs w:val="28"/>
        </w:rPr>
        <w:t xml:space="preserve">end </w:t>
      </w:r>
      <w:r w:rsidR="006A305F">
        <w:rPr>
          <w:rFonts w:eastAsia="Times New Roman" w:cs="Calibri"/>
          <w:color w:val="000000"/>
          <w:sz w:val="28"/>
          <w:szCs w:val="28"/>
        </w:rPr>
        <w:t xml:space="preserve">the equivalent of 2% of their 2010 retail sales on </w:t>
      </w:r>
      <w:r w:rsidR="006A305F" w:rsidRPr="00480B19">
        <w:rPr>
          <w:rFonts w:eastAsia="Times New Roman" w:cs="Calibri"/>
          <w:color w:val="000000"/>
          <w:sz w:val="28"/>
          <w:szCs w:val="28"/>
        </w:rPr>
        <w:t>renewable energy</w:t>
      </w:r>
      <w:r w:rsidR="006A305F">
        <w:rPr>
          <w:rFonts w:eastAsia="Times New Roman" w:cs="Calibri"/>
          <w:color w:val="000000"/>
          <w:sz w:val="28"/>
          <w:szCs w:val="28"/>
        </w:rPr>
        <w:t xml:space="preserve"> for</w:t>
      </w:r>
      <w:r w:rsidR="006A305F" w:rsidRPr="00480B19">
        <w:rPr>
          <w:rFonts w:eastAsia="Times New Roman" w:cs="Calibri"/>
          <w:color w:val="000000"/>
          <w:sz w:val="28"/>
          <w:szCs w:val="28"/>
        </w:rPr>
        <w:t xml:space="preserve"> 5 years. </w:t>
      </w:r>
      <w:r w:rsidR="006A305F">
        <w:rPr>
          <w:rFonts w:eastAsia="Times New Roman" w:cs="Calibri"/>
          <w:color w:val="000000"/>
          <w:sz w:val="28"/>
          <w:szCs w:val="28"/>
        </w:rPr>
        <w:t xml:space="preserve">  The PCB was approved in a committee workshop this week and will be heard again in the </w:t>
      </w:r>
      <w:r w:rsidR="00C93E04">
        <w:rPr>
          <w:rFonts w:eastAsia="Times New Roman" w:cs="Calibri"/>
          <w:color w:val="000000"/>
          <w:sz w:val="28"/>
          <w:szCs w:val="28"/>
        </w:rPr>
        <w:t xml:space="preserve">same committee on Monday.   </w:t>
      </w:r>
    </w:p>
    <w:p w:rsidR="008568FE" w:rsidRPr="00A52D3F" w:rsidRDefault="00AA7D5D" w:rsidP="008568FE">
      <w:pPr>
        <w:spacing w:after="0" w:line="240" w:lineRule="auto"/>
        <w:jc w:val="both"/>
        <w:rPr>
          <w:sz w:val="28"/>
          <w:szCs w:val="28"/>
        </w:rPr>
      </w:pPr>
      <w:r w:rsidRPr="00BA3186">
        <w:rPr>
          <w:rFonts w:cs="Calibri"/>
          <w:sz w:val="28"/>
          <w:szCs w:val="28"/>
          <w:u w:val="single"/>
        </w:rPr>
        <w:t>PSC</w:t>
      </w:r>
      <w:r w:rsidRPr="00BA3186">
        <w:rPr>
          <w:rFonts w:cs="Calibri"/>
          <w:sz w:val="28"/>
          <w:szCs w:val="28"/>
        </w:rPr>
        <w:t xml:space="preserve"> – PCB ENUS 11-02 by the House Energy and Utilities Subcommittee</w:t>
      </w:r>
      <w:r>
        <w:rPr>
          <w:rFonts w:cs="Calibri"/>
          <w:sz w:val="28"/>
          <w:szCs w:val="28"/>
          <w:u w:val="single"/>
        </w:rPr>
        <w:t xml:space="preserve"> </w:t>
      </w:r>
      <w:r w:rsidR="008568FE">
        <w:rPr>
          <w:sz w:val="28"/>
          <w:szCs w:val="28"/>
        </w:rPr>
        <w:t xml:space="preserve">would define ex parte communications and prohibit commissioners and their direct staff from such communications and create monetary penalties for those that make a prohibited ex parte communication.  Commissioners would be subject to certain provisions from the Judicial Code of Conduct and would be required to have </w:t>
      </w:r>
      <w:proofErr w:type="gramStart"/>
      <w:r w:rsidR="008568FE">
        <w:rPr>
          <w:sz w:val="28"/>
          <w:szCs w:val="28"/>
        </w:rPr>
        <w:t>training</w:t>
      </w:r>
      <w:proofErr w:type="gramEnd"/>
      <w:r w:rsidR="008568FE">
        <w:rPr>
          <w:sz w:val="28"/>
          <w:szCs w:val="28"/>
        </w:rPr>
        <w:t xml:space="preserve"> and education on ethics and other matters.  Commissioners would be prohibited from demanding or requiring PSC staff to pursue a particular position on pending substantive matters.  The bill also would prevent the PSC from expanding the authority given to it by the Legislature.  In addition, the Office of the Public Counsel would be transferred to the Attorney General’ Office.</w:t>
      </w:r>
    </w:p>
    <w:p w:rsidR="005902FA" w:rsidRPr="00706F64" w:rsidRDefault="005902FA" w:rsidP="007811E0">
      <w:pPr>
        <w:spacing w:after="0" w:line="240" w:lineRule="auto"/>
        <w:jc w:val="both"/>
        <w:rPr>
          <w:rFonts w:cs="Calibri"/>
          <w:sz w:val="28"/>
          <w:szCs w:val="28"/>
          <w:u w:val="single"/>
        </w:rPr>
      </w:pPr>
    </w:p>
    <w:p w:rsidR="004D21C5" w:rsidRDefault="004D21C5" w:rsidP="007811E0">
      <w:pPr>
        <w:spacing w:after="0" w:line="240" w:lineRule="auto"/>
        <w:jc w:val="both"/>
        <w:rPr>
          <w:color w:val="000000"/>
          <w:sz w:val="28"/>
          <w:szCs w:val="28"/>
        </w:rPr>
      </w:pPr>
      <w:r w:rsidRPr="00496BC7">
        <w:rPr>
          <w:rFonts w:cs="Calibri"/>
          <w:sz w:val="28"/>
          <w:szCs w:val="28"/>
          <w:u w:val="single"/>
        </w:rPr>
        <w:t>Telecommunications deregulation</w:t>
      </w:r>
      <w:r w:rsidRPr="00BA3186">
        <w:rPr>
          <w:rFonts w:cs="Calibri"/>
          <w:sz w:val="28"/>
          <w:szCs w:val="28"/>
        </w:rPr>
        <w:t xml:space="preserve"> – HB 1231</w:t>
      </w:r>
      <w:r w:rsidR="004474BB" w:rsidRPr="00BA3186">
        <w:rPr>
          <w:rFonts w:cs="Calibri"/>
          <w:sz w:val="28"/>
          <w:szCs w:val="28"/>
        </w:rPr>
        <w:t xml:space="preserve"> </w:t>
      </w:r>
      <w:r w:rsidRPr="00BA3186">
        <w:rPr>
          <w:rFonts w:cs="Calibri"/>
          <w:sz w:val="28"/>
          <w:szCs w:val="28"/>
        </w:rPr>
        <w:t>by Rep. Horner and SB 1524 by Sen. Simmons both include</w:t>
      </w:r>
      <w:r w:rsidR="00CB5965" w:rsidRPr="00BA3186">
        <w:rPr>
          <w:rFonts w:cs="Calibri"/>
          <w:sz w:val="28"/>
          <w:szCs w:val="28"/>
        </w:rPr>
        <w:t>d</w:t>
      </w:r>
      <w:r w:rsidRPr="00BA3186">
        <w:rPr>
          <w:rFonts w:cs="Calibri"/>
          <w:sz w:val="28"/>
          <w:szCs w:val="28"/>
        </w:rPr>
        <w:t xml:space="preserve"> a provision that </w:t>
      </w:r>
      <w:r>
        <w:rPr>
          <w:rFonts w:cs="Calibri"/>
          <w:sz w:val="28"/>
          <w:szCs w:val="28"/>
        </w:rPr>
        <w:t>would require the Department of Management Services to “</w:t>
      </w:r>
      <w:r w:rsidRPr="00310E79">
        <w:rPr>
          <w:color w:val="000000"/>
          <w:sz w:val="28"/>
          <w:szCs w:val="28"/>
        </w:rPr>
        <w:t xml:space="preserve">encourage sustainable adoption of broadband in primarily </w:t>
      </w:r>
      <w:proofErr w:type="spellStart"/>
      <w:r w:rsidRPr="00310E79">
        <w:rPr>
          <w:color w:val="000000"/>
          <w:sz w:val="28"/>
          <w:szCs w:val="28"/>
        </w:rPr>
        <w:t>unserved</w:t>
      </w:r>
      <w:proofErr w:type="spellEnd"/>
      <w:r w:rsidRPr="00310E79">
        <w:rPr>
          <w:color w:val="000000"/>
          <w:sz w:val="28"/>
          <w:szCs w:val="28"/>
        </w:rPr>
        <w:t xml:space="preserve"> areas by removing barriers to entry, such as unreasonably high pole-attachment rates.”  </w:t>
      </w:r>
      <w:r w:rsidR="00CB5965">
        <w:rPr>
          <w:color w:val="000000"/>
          <w:sz w:val="28"/>
          <w:szCs w:val="28"/>
        </w:rPr>
        <w:t xml:space="preserve"> We have deleted this language from SB 1524 and we expect to delete it from HB 1231 at its next stop.</w:t>
      </w:r>
    </w:p>
    <w:p w:rsidR="004D21C5" w:rsidRDefault="004D21C5" w:rsidP="007811E0">
      <w:pPr>
        <w:spacing w:after="0" w:line="240" w:lineRule="auto"/>
        <w:jc w:val="both"/>
        <w:rPr>
          <w:color w:val="000000"/>
          <w:sz w:val="28"/>
          <w:szCs w:val="28"/>
        </w:rPr>
      </w:pPr>
    </w:p>
    <w:p w:rsidR="004D21C5" w:rsidRPr="00F33E44" w:rsidRDefault="004D21C5" w:rsidP="004D21C5">
      <w:pPr>
        <w:pStyle w:val="PlainText"/>
        <w:rPr>
          <w:sz w:val="28"/>
          <w:szCs w:val="28"/>
        </w:rPr>
      </w:pPr>
      <w:r w:rsidRPr="00BE1E2A">
        <w:rPr>
          <w:sz w:val="28"/>
          <w:szCs w:val="28"/>
          <w:u w:val="single"/>
        </w:rPr>
        <w:lastRenderedPageBreak/>
        <w:t>Agriculture bill from 2010 that Gov. Crist vetoed</w:t>
      </w:r>
      <w:r w:rsidRPr="00F33E44">
        <w:rPr>
          <w:sz w:val="28"/>
          <w:szCs w:val="28"/>
        </w:rPr>
        <w:t xml:space="preserve"> - Both chambers </w:t>
      </w:r>
      <w:r w:rsidR="00324611">
        <w:rPr>
          <w:sz w:val="28"/>
          <w:szCs w:val="28"/>
        </w:rPr>
        <w:t xml:space="preserve">voted to override </w:t>
      </w:r>
      <w:r w:rsidRPr="00F33E44">
        <w:rPr>
          <w:sz w:val="28"/>
          <w:szCs w:val="28"/>
        </w:rPr>
        <w:t>Gov. Crist’s veto</w:t>
      </w:r>
      <w:r w:rsidR="00324611">
        <w:rPr>
          <w:sz w:val="28"/>
          <w:szCs w:val="28"/>
        </w:rPr>
        <w:t xml:space="preserve"> of last year’s agriculture bill HB 7103</w:t>
      </w:r>
      <w:r w:rsidR="00F33E44">
        <w:rPr>
          <w:sz w:val="28"/>
          <w:szCs w:val="28"/>
        </w:rPr>
        <w:t xml:space="preserve"> and the bill is now law</w:t>
      </w:r>
      <w:r w:rsidRPr="00F33E44">
        <w:rPr>
          <w:sz w:val="28"/>
          <w:szCs w:val="28"/>
        </w:rPr>
        <w:t xml:space="preserve">.  The bill includes a definition of "sustainable agricultural land" with an ambiguous use of the word </w:t>
      </w:r>
      <w:r w:rsidR="00FB69B0">
        <w:rPr>
          <w:sz w:val="28"/>
          <w:szCs w:val="28"/>
        </w:rPr>
        <w:t>“</w:t>
      </w:r>
      <w:r w:rsidRPr="00F33E44">
        <w:rPr>
          <w:sz w:val="28"/>
          <w:szCs w:val="28"/>
        </w:rPr>
        <w:t>energy</w:t>
      </w:r>
      <w:r w:rsidR="00FB69B0">
        <w:rPr>
          <w:sz w:val="28"/>
          <w:szCs w:val="28"/>
        </w:rPr>
        <w:t>”</w:t>
      </w:r>
      <w:r w:rsidRPr="00F33E44">
        <w:rPr>
          <w:sz w:val="28"/>
          <w:szCs w:val="28"/>
        </w:rPr>
        <w:t xml:space="preserve">. </w:t>
      </w:r>
      <w:r>
        <w:rPr>
          <w:sz w:val="28"/>
          <w:szCs w:val="28"/>
        </w:rPr>
        <w:t xml:space="preserve"> </w:t>
      </w:r>
      <w:r w:rsidRPr="00F33E44">
        <w:rPr>
          <w:sz w:val="28"/>
          <w:szCs w:val="28"/>
        </w:rPr>
        <w:t xml:space="preserve"> </w:t>
      </w:r>
      <w:r w:rsidR="008A5241">
        <w:rPr>
          <w:sz w:val="28"/>
          <w:szCs w:val="28"/>
        </w:rPr>
        <w:t xml:space="preserve">The override eliminates the need to track </w:t>
      </w:r>
      <w:r w:rsidR="008A5241" w:rsidRPr="00E67248">
        <w:rPr>
          <w:sz w:val="28"/>
          <w:szCs w:val="28"/>
        </w:rPr>
        <w:t xml:space="preserve">HB </w:t>
      </w:r>
      <w:r w:rsidR="008A5241">
        <w:rPr>
          <w:sz w:val="28"/>
          <w:szCs w:val="28"/>
        </w:rPr>
        <w:t xml:space="preserve">707 </w:t>
      </w:r>
      <w:r w:rsidR="008A5241" w:rsidRPr="00E67248">
        <w:rPr>
          <w:sz w:val="28"/>
          <w:szCs w:val="28"/>
        </w:rPr>
        <w:t xml:space="preserve">by Rep. </w:t>
      </w:r>
      <w:proofErr w:type="spellStart"/>
      <w:r w:rsidR="008A5241">
        <w:rPr>
          <w:sz w:val="28"/>
          <w:szCs w:val="28"/>
        </w:rPr>
        <w:t>Crisafulli</w:t>
      </w:r>
      <w:proofErr w:type="spellEnd"/>
      <w:r w:rsidR="008A5241">
        <w:rPr>
          <w:sz w:val="28"/>
          <w:szCs w:val="28"/>
        </w:rPr>
        <w:t xml:space="preserve"> and SB 858 by Sen. Hays, which were similar bills.</w:t>
      </w:r>
    </w:p>
    <w:p w:rsidR="004D21C5" w:rsidRPr="004D21C5" w:rsidRDefault="004D21C5" w:rsidP="007811E0">
      <w:pPr>
        <w:spacing w:after="0" w:line="240" w:lineRule="auto"/>
        <w:jc w:val="both"/>
        <w:rPr>
          <w:rFonts w:cs="Calibri"/>
          <w:sz w:val="28"/>
          <w:szCs w:val="28"/>
          <w:u w:val="single"/>
        </w:rPr>
      </w:pPr>
    </w:p>
    <w:p w:rsidR="004D21C5" w:rsidRDefault="008C554A" w:rsidP="007811E0">
      <w:pPr>
        <w:spacing w:after="0" w:line="240" w:lineRule="auto"/>
        <w:jc w:val="both"/>
        <w:rPr>
          <w:rFonts w:cs="Calibri"/>
          <w:sz w:val="28"/>
          <w:szCs w:val="28"/>
          <w:u w:val="single"/>
        </w:rPr>
      </w:pPr>
      <w:r>
        <w:rPr>
          <w:rFonts w:cs="Calibri"/>
          <w:sz w:val="28"/>
          <w:szCs w:val="28"/>
          <w:u w:val="single"/>
        </w:rPr>
        <w:t>Campaign contribution limits</w:t>
      </w:r>
      <w:r w:rsidRPr="00BA3186">
        <w:rPr>
          <w:rFonts w:cs="Calibri"/>
          <w:sz w:val="28"/>
          <w:szCs w:val="28"/>
        </w:rPr>
        <w:t xml:space="preserve"> – SB 1690 by Sen. Diaz de la </w:t>
      </w:r>
      <w:proofErr w:type="spellStart"/>
      <w:r w:rsidRPr="00BA3186">
        <w:rPr>
          <w:rFonts w:cs="Calibri"/>
          <w:sz w:val="28"/>
          <w:szCs w:val="28"/>
        </w:rPr>
        <w:t>Portilla</w:t>
      </w:r>
      <w:proofErr w:type="spellEnd"/>
      <w:r w:rsidRPr="00BA3186">
        <w:rPr>
          <w:rFonts w:cs="Calibri"/>
          <w:sz w:val="28"/>
          <w:szCs w:val="28"/>
        </w:rPr>
        <w:t xml:space="preserve"> would increase the campaign contribution limits from $500 to $10,000 for the </w:t>
      </w:r>
      <w:r w:rsidR="004411E4" w:rsidRPr="00BA3186">
        <w:rPr>
          <w:rFonts w:cs="Calibri"/>
          <w:sz w:val="28"/>
          <w:szCs w:val="28"/>
        </w:rPr>
        <w:t>G</w:t>
      </w:r>
      <w:r w:rsidRPr="00BA3186">
        <w:rPr>
          <w:rFonts w:cs="Calibri"/>
          <w:sz w:val="28"/>
          <w:szCs w:val="28"/>
        </w:rPr>
        <w:t>overnor’s</w:t>
      </w:r>
      <w:r w:rsidR="004411E4" w:rsidRPr="00BA3186">
        <w:rPr>
          <w:rFonts w:cs="Calibri"/>
          <w:sz w:val="28"/>
          <w:szCs w:val="28"/>
        </w:rPr>
        <w:t xml:space="preserve"> race, $5,000 for the other Cabinet races, and $2,500 for legislators.</w:t>
      </w:r>
    </w:p>
    <w:p w:rsidR="00B65D4F" w:rsidRDefault="00B65D4F" w:rsidP="007811E0">
      <w:pPr>
        <w:spacing w:after="0" w:line="240" w:lineRule="auto"/>
        <w:jc w:val="both"/>
        <w:rPr>
          <w:rFonts w:cs="Calibri"/>
          <w:sz w:val="28"/>
          <w:szCs w:val="28"/>
          <w:u w:val="single"/>
        </w:rPr>
      </w:pPr>
    </w:p>
    <w:p w:rsidR="00B65D4F" w:rsidRDefault="00AC4042" w:rsidP="007811E0">
      <w:pPr>
        <w:spacing w:after="0" w:line="240" w:lineRule="auto"/>
        <w:jc w:val="both"/>
        <w:rPr>
          <w:rFonts w:cs="Calibri"/>
          <w:sz w:val="28"/>
          <w:szCs w:val="28"/>
          <w:u w:val="single"/>
        </w:rPr>
      </w:pPr>
      <w:r>
        <w:rPr>
          <w:rFonts w:cs="Calibri"/>
          <w:sz w:val="28"/>
          <w:szCs w:val="28"/>
          <w:u w:val="single"/>
        </w:rPr>
        <w:t xml:space="preserve">Florida Energy and </w:t>
      </w:r>
      <w:r w:rsidR="00B65D4F">
        <w:rPr>
          <w:rFonts w:cs="Calibri"/>
          <w:sz w:val="28"/>
          <w:szCs w:val="28"/>
          <w:u w:val="single"/>
        </w:rPr>
        <w:t>Climate Commission</w:t>
      </w:r>
      <w:r w:rsidR="00F541DB" w:rsidRPr="00BA3186">
        <w:rPr>
          <w:rFonts w:cs="Calibri"/>
          <w:sz w:val="28"/>
          <w:szCs w:val="28"/>
        </w:rPr>
        <w:t xml:space="preserve"> – S</w:t>
      </w:r>
      <w:r w:rsidRPr="00BA3186">
        <w:rPr>
          <w:rFonts w:cs="Calibri"/>
          <w:sz w:val="28"/>
          <w:szCs w:val="28"/>
        </w:rPr>
        <w:t>B 7100 would abolish the Florida Energy and Climate Commission and move its duties to DEP.</w:t>
      </w:r>
    </w:p>
    <w:p w:rsidR="004411E4" w:rsidRDefault="004411E4" w:rsidP="007811E0">
      <w:pPr>
        <w:spacing w:after="0" w:line="240" w:lineRule="auto"/>
        <w:jc w:val="both"/>
        <w:rPr>
          <w:rFonts w:cs="Calibri"/>
          <w:sz w:val="28"/>
          <w:szCs w:val="28"/>
          <w:u w:val="single"/>
        </w:rPr>
      </w:pPr>
    </w:p>
    <w:p w:rsidR="001005B0" w:rsidRPr="005C0841" w:rsidRDefault="001005B0" w:rsidP="001005B0">
      <w:pPr>
        <w:jc w:val="both"/>
        <w:rPr>
          <w:sz w:val="28"/>
          <w:szCs w:val="28"/>
        </w:rPr>
      </w:pPr>
      <w:r>
        <w:rPr>
          <w:sz w:val="28"/>
          <w:szCs w:val="28"/>
          <w:u w:val="single"/>
        </w:rPr>
        <w:t>Growth Management</w:t>
      </w:r>
      <w:r w:rsidR="000207D1">
        <w:rPr>
          <w:sz w:val="28"/>
          <w:szCs w:val="28"/>
          <w:u w:val="single"/>
        </w:rPr>
        <w:t xml:space="preserve"> </w:t>
      </w:r>
      <w:r>
        <w:rPr>
          <w:sz w:val="28"/>
          <w:szCs w:val="28"/>
        </w:rPr>
        <w:t>- SB 1122 by Sen. Bennett and HB 7129 would eliminate the requirement for local comprehensive plans to account for existing and future electric power generation and transmission systems and greenhouse gas reduction strategies.</w:t>
      </w:r>
      <w:r w:rsidR="00F541DB">
        <w:rPr>
          <w:sz w:val="28"/>
          <w:szCs w:val="28"/>
        </w:rPr>
        <w:t xml:space="preserve">  </w:t>
      </w:r>
      <w:r w:rsidR="003F1CD3">
        <w:rPr>
          <w:sz w:val="28"/>
          <w:szCs w:val="28"/>
        </w:rPr>
        <w:t xml:space="preserve">At this point we are not sure that this is a good thing.  </w:t>
      </w:r>
      <w:bookmarkStart w:id="0" w:name="_GoBack"/>
      <w:bookmarkEnd w:id="0"/>
      <w:r w:rsidR="00F541DB">
        <w:rPr>
          <w:sz w:val="28"/>
          <w:szCs w:val="28"/>
        </w:rPr>
        <w:t>HB 7129 passed out of its only committee as is on the way to the House floor.</w:t>
      </w:r>
    </w:p>
    <w:p w:rsidR="004D4605" w:rsidRDefault="001005B0" w:rsidP="001005B0">
      <w:pPr>
        <w:spacing w:after="0" w:line="240" w:lineRule="auto"/>
        <w:jc w:val="both"/>
        <w:rPr>
          <w:sz w:val="28"/>
          <w:szCs w:val="28"/>
        </w:rPr>
      </w:pPr>
      <w:r w:rsidRPr="005F1054">
        <w:rPr>
          <w:sz w:val="28"/>
          <w:szCs w:val="28"/>
          <w:u w:val="single"/>
        </w:rPr>
        <w:t>Resolution on Energy Conservation</w:t>
      </w:r>
      <w:r w:rsidRPr="00BA3186">
        <w:rPr>
          <w:sz w:val="28"/>
          <w:szCs w:val="28"/>
        </w:rPr>
        <w:t xml:space="preserve"> - </w:t>
      </w:r>
      <w:r>
        <w:rPr>
          <w:sz w:val="28"/>
          <w:szCs w:val="28"/>
        </w:rPr>
        <w:t>H</w:t>
      </w:r>
      <w:r w:rsidR="00F541DB">
        <w:rPr>
          <w:sz w:val="28"/>
          <w:szCs w:val="28"/>
        </w:rPr>
        <w:t>B</w:t>
      </w:r>
      <w:r>
        <w:rPr>
          <w:sz w:val="28"/>
          <w:szCs w:val="28"/>
        </w:rPr>
        <w:t xml:space="preserve"> 7153 is a resolution urging Congress reinstitute and affirm local government’s authority to finance improvements to their constituents’ homes and businesses if the improvements are for energy conservation and efficiency, wind resistance or renewable energy.  Last year, Florida enacted the PACE bond bill but the law has been frozen by the Federal Housing Finance Agency.  </w:t>
      </w:r>
      <w:r w:rsidR="00F541DB">
        <w:rPr>
          <w:sz w:val="28"/>
          <w:szCs w:val="28"/>
        </w:rPr>
        <w:t>HB 7153 is on the House floor.</w:t>
      </w:r>
    </w:p>
    <w:p w:rsidR="00861018" w:rsidRDefault="00861018" w:rsidP="001005B0">
      <w:pPr>
        <w:spacing w:after="0" w:line="240" w:lineRule="auto"/>
        <w:jc w:val="both"/>
        <w:rPr>
          <w:sz w:val="28"/>
          <w:szCs w:val="28"/>
        </w:rPr>
      </w:pPr>
    </w:p>
    <w:p w:rsidR="004D4605" w:rsidRPr="004D4605" w:rsidRDefault="00FD1E17" w:rsidP="001005B0">
      <w:pPr>
        <w:spacing w:after="0" w:line="240" w:lineRule="auto"/>
        <w:jc w:val="both"/>
        <w:rPr>
          <w:b/>
          <w:sz w:val="28"/>
          <w:szCs w:val="28"/>
          <w:u w:val="single"/>
        </w:rPr>
      </w:pPr>
      <w:r>
        <w:rPr>
          <w:b/>
          <w:sz w:val="28"/>
          <w:szCs w:val="28"/>
          <w:u w:val="single"/>
        </w:rPr>
        <w:t xml:space="preserve">Other </w:t>
      </w:r>
      <w:r w:rsidR="004D4605" w:rsidRPr="004D4605">
        <w:rPr>
          <w:b/>
          <w:sz w:val="28"/>
          <w:szCs w:val="28"/>
          <w:u w:val="single"/>
        </w:rPr>
        <w:t xml:space="preserve">Bills </w:t>
      </w:r>
      <w:r w:rsidR="004D4605">
        <w:rPr>
          <w:b/>
          <w:sz w:val="28"/>
          <w:szCs w:val="28"/>
          <w:u w:val="single"/>
        </w:rPr>
        <w:t xml:space="preserve">of great interest </w:t>
      </w:r>
      <w:proofErr w:type="gramStart"/>
      <w:r w:rsidR="004D4605" w:rsidRPr="004D4605">
        <w:rPr>
          <w:b/>
          <w:sz w:val="28"/>
          <w:szCs w:val="28"/>
          <w:u w:val="single"/>
        </w:rPr>
        <w:t>that are</w:t>
      </w:r>
      <w:proofErr w:type="gramEnd"/>
      <w:r w:rsidR="004D4605" w:rsidRPr="004D4605">
        <w:rPr>
          <w:b/>
          <w:sz w:val="28"/>
          <w:szCs w:val="28"/>
          <w:u w:val="single"/>
        </w:rPr>
        <w:t xml:space="preserve"> moving</w:t>
      </w:r>
    </w:p>
    <w:p w:rsidR="00BA3186" w:rsidRDefault="00BA3186" w:rsidP="007811E0">
      <w:pPr>
        <w:spacing w:after="0" w:line="240" w:lineRule="auto"/>
        <w:rPr>
          <w:rFonts w:cs="Calibri"/>
          <w:sz w:val="28"/>
          <w:szCs w:val="28"/>
          <w:u w:val="single"/>
        </w:rPr>
      </w:pPr>
    </w:p>
    <w:p w:rsidR="00BA3186" w:rsidRDefault="007811E0" w:rsidP="007811E0">
      <w:pPr>
        <w:spacing w:after="0" w:line="240" w:lineRule="auto"/>
        <w:rPr>
          <w:rFonts w:cs="Calibri"/>
          <w:sz w:val="28"/>
          <w:szCs w:val="28"/>
        </w:rPr>
      </w:pPr>
      <w:r w:rsidRPr="007811E0">
        <w:rPr>
          <w:rFonts w:cs="Calibri"/>
          <w:sz w:val="28"/>
          <w:szCs w:val="28"/>
          <w:u w:val="single"/>
        </w:rPr>
        <w:t>Energy Economic Zones</w:t>
      </w:r>
      <w:r w:rsidR="00CD2364" w:rsidRPr="0058389F">
        <w:rPr>
          <w:rFonts w:cs="Calibri"/>
          <w:sz w:val="28"/>
          <w:szCs w:val="28"/>
        </w:rPr>
        <w:t xml:space="preserve"> </w:t>
      </w:r>
      <w:r w:rsidRPr="007811E0">
        <w:rPr>
          <w:rFonts w:cs="Calibri"/>
          <w:sz w:val="28"/>
          <w:szCs w:val="28"/>
        </w:rPr>
        <w:t xml:space="preserve">- SB 1460 by Sen. Bennett and HB 1175 by Rep. </w:t>
      </w:r>
      <w:proofErr w:type="spellStart"/>
      <w:r w:rsidRPr="007811E0">
        <w:rPr>
          <w:rFonts w:cs="Calibri"/>
          <w:sz w:val="28"/>
          <w:szCs w:val="28"/>
        </w:rPr>
        <w:t>Pilon</w:t>
      </w:r>
      <w:proofErr w:type="spellEnd"/>
      <w:r w:rsidRPr="007811E0">
        <w:rPr>
          <w:rFonts w:cs="Calibri"/>
          <w:sz w:val="28"/>
          <w:szCs w:val="28"/>
        </w:rPr>
        <w:t xml:space="preserve"> would provide incentives to form energy economic zones.  These incentives include </w:t>
      </w:r>
      <w:r w:rsidR="00CD2364">
        <w:rPr>
          <w:rFonts w:cs="Calibri"/>
          <w:sz w:val="28"/>
          <w:szCs w:val="28"/>
        </w:rPr>
        <w:t xml:space="preserve">sales tax </w:t>
      </w:r>
      <w:r w:rsidRPr="007811E0">
        <w:rPr>
          <w:rFonts w:cs="Calibri"/>
          <w:sz w:val="28"/>
          <w:szCs w:val="28"/>
        </w:rPr>
        <w:t>exemption</w:t>
      </w:r>
      <w:r w:rsidR="00CD2364">
        <w:rPr>
          <w:rFonts w:cs="Calibri"/>
          <w:sz w:val="28"/>
          <w:szCs w:val="28"/>
        </w:rPr>
        <w:t xml:space="preserve">s, property </w:t>
      </w:r>
      <w:r w:rsidRPr="007811E0">
        <w:rPr>
          <w:rFonts w:cs="Calibri"/>
          <w:sz w:val="28"/>
          <w:szCs w:val="28"/>
        </w:rPr>
        <w:t>tax</w:t>
      </w:r>
      <w:r w:rsidR="00CD2364">
        <w:rPr>
          <w:rFonts w:cs="Calibri"/>
          <w:sz w:val="28"/>
          <w:szCs w:val="28"/>
        </w:rPr>
        <w:t xml:space="preserve"> credits</w:t>
      </w:r>
      <w:r w:rsidRPr="007811E0">
        <w:rPr>
          <w:rFonts w:cs="Calibri"/>
          <w:sz w:val="28"/>
          <w:szCs w:val="28"/>
        </w:rPr>
        <w:t xml:space="preserve">, and </w:t>
      </w:r>
      <w:r w:rsidR="00CD2364">
        <w:rPr>
          <w:rFonts w:cs="Calibri"/>
          <w:sz w:val="28"/>
          <w:szCs w:val="28"/>
        </w:rPr>
        <w:t xml:space="preserve">tax </w:t>
      </w:r>
      <w:r w:rsidRPr="007811E0">
        <w:rPr>
          <w:rFonts w:cs="Calibri"/>
          <w:sz w:val="28"/>
          <w:szCs w:val="28"/>
        </w:rPr>
        <w:t xml:space="preserve">refunds.  An IOU would be allowed to offer discounts of up to 50% on rates to small businesses located in an energy economic zone for up to 5 years.  In addition, projects located in energy economic zones would have priority ranking to receive any energy grants.  </w:t>
      </w:r>
      <w:r w:rsidR="00CB5965">
        <w:rPr>
          <w:rFonts w:cs="Calibri"/>
          <w:sz w:val="28"/>
          <w:szCs w:val="28"/>
        </w:rPr>
        <w:t xml:space="preserve"> SB 1460 passed out of its first committee.</w:t>
      </w:r>
    </w:p>
    <w:p w:rsidR="00BA3186" w:rsidRDefault="007811E0" w:rsidP="007811E0">
      <w:pPr>
        <w:spacing w:after="0" w:line="240" w:lineRule="auto"/>
        <w:rPr>
          <w:rFonts w:cs="Calibri"/>
          <w:sz w:val="28"/>
          <w:szCs w:val="28"/>
        </w:rPr>
      </w:pPr>
      <w:r w:rsidRPr="007811E0">
        <w:rPr>
          <w:rFonts w:cs="Calibri"/>
          <w:sz w:val="28"/>
          <w:szCs w:val="28"/>
          <w:u w:val="single"/>
        </w:rPr>
        <w:lastRenderedPageBreak/>
        <w:t>Discretionary Sales Surtax</w:t>
      </w:r>
      <w:r w:rsidR="00135AD1" w:rsidRPr="0058389F">
        <w:rPr>
          <w:rFonts w:cs="Calibri"/>
          <w:sz w:val="28"/>
          <w:szCs w:val="28"/>
        </w:rPr>
        <w:t xml:space="preserve"> </w:t>
      </w:r>
      <w:r w:rsidRPr="007811E0">
        <w:rPr>
          <w:rFonts w:cs="Calibri"/>
          <w:sz w:val="28"/>
          <w:szCs w:val="28"/>
        </w:rPr>
        <w:t xml:space="preserve">- SB 1864 by Sen. Altman and HB 1281 by Rep. </w:t>
      </w:r>
      <w:proofErr w:type="spellStart"/>
      <w:r w:rsidRPr="007811E0">
        <w:rPr>
          <w:rFonts w:cs="Calibri"/>
          <w:sz w:val="28"/>
          <w:szCs w:val="28"/>
        </w:rPr>
        <w:t>Rehwinkel-Vasilinda</w:t>
      </w:r>
      <w:proofErr w:type="spellEnd"/>
      <w:r w:rsidRPr="007811E0">
        <w:rPr>
          <w:rFonts w:cs="Calibri"/>
          <w:sz w:val="28"/>
          <w:szCs w:val="28"/>
        </w:rPr>
        <w:t xml:space="preserve"> would authorize local governments to </w:t>
      </w:r>
      <w:r w:rsidR="00CB5965">
        <w:rPr>
          <w:rFonts w:cs="Calibri"/>
          <w:sz w:val="28"/>
          <w:szCs w:val="28"/>
        </w:rPr>
        <w:t xml:space="preserve">impose a </w:t>
      </w:r>
      <w:r w:rsidRPr="007811E0">
        <w:rPr>
          <w:rFonts w:cs="Calibri"/>
          <w:sz w:val="28"/>
          <w:szCs w:val="28"/>
        </w:rPr>
        <w:t xml:space="preserve">discretionary sales surtax </w:t>
      </w:r>
      <w:r w:rsidR="00CB5965">
        <w:rPr>
          <w:rFonts w:cs="Calibri"/>
          <w:sz w:val="28"/>
          <w:szCs w:val="28"/>
        </w:rPr>
        <w:t xml:space="preserve">that would be used </w:t>
      </w:r>
      <w:r w:rsidRPr="007811E0">
        <w:rPr>
          <w:rFonts w:cs="Calibri"/>
          <w:sz w:val="28"/>
          <w:szCs w:val="28"/>
        </w:rPr>
        <w:t>to provide financial assistance to owners of residential property who install renewable energy devices or make energy efficiency upgrades.  The bill defines renewable energy devices accepted in the program including solar, wind, geothermal and certain accessories associated with these devices.  Additionally, the bill defines what actions constitute energy efficiency improvements.</w:t>
      </w:r>
      <w:r w:rsidR="00AC4042">
        <w:rPr>
          <w:rFonts w:cs="Calibri"/>
          <w:sz w:val="28"/>
          <w:szCs w:val="28"/>
        </w:rPr>
        <w:t xml:space="preserve">  HB 1281 passed out of its first committee.</w:t>
      </w:r>
    </w:p>
    <w:p w:rsidR="00BA3186" w:rsidRDefault="00BA3186" w:rsidP="007811E0">
      <w:pPr>
        <w:spacing w:after="0" w:line="240" w:lineRule="auto"/>
        <w:rPr>
          <w:rFonts w:cs="Calibri"/>
          <w:sz w:val="28"/>
          <w:szCs w:val="28"/>
        </w:rPr>
      </w:pPr>
    </w:p>
    <w:p w:rsidR="007811E0" w:rsidRPr="007811E0" w:rsidRDefault="007811E0" w:rsidP="007811E0">
      <w:pPr>
        <w:spacing w:after="0" w:line="240" w:lineRule="auto"/>
        <w:rPr>
          <w:rFonts w:cs="Calibri"/>
          <w:sz w:val="28"/>
          <w:szCs w:val="28"/>
        </w:rPr>
      </w:pPr>
      <w:r w:rsidRPr="007811E0">
        <w:rPr>
          <w:rFonts w:cs="Calibri"/>
          <w:sz w:val="28"/>
          <w:szCs w:val="28"/>
          <w:u w:val="single"/>
        </w:rPr>
        <w:t>EPA Resolutions</w:t>
      </w:r>
      <w:r w:rsidR="00135AD1" w:rsidRPr="0058389F">
        <w:rPr>
          <w:rFonts w:cs="Calibri"/>
          <w:sz w:val="28"/>
          <w:szCs w:val="28"/>
        </w:rPr>
        <w:t xml:space="preserve"> </w:t>
      </w:r>
      <w:r w:rsidRPr="007811E0">
        <w:rPr>
          <w:rFonts w:cs="Calibri"/>
          <w:sz w:val="28"/>
          <w:szCs w:val="28"/>
          <w:u w:val="single"/>
        </w:rPr>
        <w:t>-</w:t>
      </w:r>
      <w:r w:rsidRPr="007811E0">
        <w:rPr>
          <w:rFonts w:cs="Calibri"/>
          <w:sz w:val="28"/>
          <w:szCs w:val="28"/>
        </w:rPr>
        <w:t xml:space="preserve"> HM 1375 by Rep. </w:t>
      </w:r>
      <w:proofErr w:type="spellStart"/>
      <w:r w:rsidRPr="007811E0">
        <w:rPr>
          <w:rFonts w:cs="Calibri"/>
          <w:sz w:val="28"/>
          <w:szCs w:val="28"/>
        </w:rPr>
        <w:t>Fresen</w:t>
      </w:r>
      <w:proofErr w:type="spellEnd"/>
      <w:r w:rsidRPr="007811E0">
        <w:rPr>
          <w:rFonts w:cs="Calibri"/>
          <w:sz w:val="28"/>
          <w:szCs w:val="28"/>
        </w:rPr>
        <w:t xml:space="preserve"> is a resolution </w:t>
      </w:r>
      <w:r w:rsidR="00135AD1">
        <w:rPr>
          <w:rFonts w:cs="Calibri"/>
          <w:sz w:val="28"/>
          <w:szCs w:val="28"/>
        </w:rPr>
        <w:t xml:space="preserve">urging </w:t>
      </w:r>
      <w:r w:rsidRPr="007811E0">
        <w:rPr>
          <w:rFonts w:cs="Calibri"/>
          <w:sz w:val="28"/>
          <w:szCs w:val="28"/>
        </w:rPr>
        <w:t xml:space="preserve">Congress to clarify and specify EPA’s legal and regulatory obligations regarding greenhouse gases. </w:t>
      </w:r>
      <w:r w:rsidR="00B365A9">
        <w:rPr>
          <w:rFonts w:cs="Calibri"/>
          <w:sz w:val="28"/>
          <w:szCs w:val="28"/>
        </w:rPr>
        <w:t xml:space="preserve"> HM 1375 is on the House floor.</w:t>
      </w:r>
      <w:r w:rsidRPr="007811E0">
        <w:rPr>
          <w:rFonts w:cs="Calibri"/>
          <w:sz w:val="28"/>
          <w:szCs w:val="28"/>
        </w:rPr>
        <w:t xml:space="preserve"> </w:t>
      </w:r>
    </w:p>
    <w:p w:rsidR="007811E0" w:rsidRPr="007811E0" w:rsidRDefault="007811E0" w:rsidP="007811E0">
      <w:pPr>
        <w:spacing w:after="0" w:line="240" w:lineRule="auto"/>
        <w:rPr>
          <w:rFonts w:cs="Calibri"/>
          <w:sz w:val="28"/>
          <w:szCs w:val="28"/>
        </w:rPr>
      </w:pPr>
    </w:p>
    <w:p w:rsidR="007811E0" w:rsidRPr="007811E0" w:rsidRDefault="007811E0" w:rsidP="007811E0">
      <w:pPr>
        <w:spacing w:after="0" w:line="240" w:lineRule="auto"/>
        <w:rPr>
          <w:rFonts w:cs="Calibri"/>
          <w:sz w:val="28"/>
          <w:szCs w:val="28"/>
        </w:rPr>
      </w:pPr>
      <w:r w:rsidRPr="007811E0">
        <w:rPr>
          <w:rFonts w:cs="Calibri"/>
          <w:sz w:val="28"/>
          <w:szCs w:val="28"/>
          <w:u w:val="single"/>
        </w:rPr>
        <w:t>Numeric Nutrient Criteria</w:t>
      </w:r>
      <w:r w:rsidR="00135AD1" w:rsidRPr="0058389F">
        <w:rPr>
          <w:rFonts w:cs="Calibri"/>
          <w:sz w:val="28"/>
          <w:szCs w:val="28"/>
        </w:rPr>
        <w:t xml:space="preserve"> </w:t>
      </w:r>
      <w:r w:rsidRPr="007811E0">
        <w:rPr>
          <w:rFonts w:cs="Calibri"/>
          <w:sz w:val="28"/>
          <w:szCs w:val="28"/>
          <w:u w:val="single"/>
        </w:rPr>
        <w:t>-</w:t>
      </w:r>
      <w:r w:rsidRPr="007811E0">
        <w:rPr>
          <w:rFonts w:cs="Calibri"/>
          <w:sz w:val="28"/>
          <w:szCs w:val="28"/>
        </w:rPr>
        <w:t xml:space="preserve"> HB 1401 by Rep. </w:t>
      </w:r>
      <w:proofErr w:type="spellStart"/>
      <w:r w:rsidRPr="007811E0">
        <w:rPr>
          <w:rFonts w:cs="Calibri"/>
          <w:sz w:val="28"/>
          <w:szCs w:val="28"/>
        </w:rPr>
        <w:t>Stuebe</w:t>
      </w:r>
      <w:proofErr w:type="spellEnd"/>
      <w:r w:rsidRPr="007811E0">
        <w:rPr>
          <w:rFonts w:cs="Calibri"/>
          <w:sz w:val="28"/>
          <w:szCs w:val="28"/>
        </w:rPr>
        <w:t xml:space="preserve"> is a resolution urg</w:t>
      </w:r>
      <w:r w:rsidR="00135AD1">
        <w:rPr>
          <w:rFonts w:cs="Calibri"/>
          <w:sz w:val="28"/>
          <w:szCs w:val="28"/>
        </w:rPr>
        <w:t>ing</w:t>
      </w:r>
      <w:r w:rsidRPr="007811E0">
        <w:rPr>
          <w:rFonts w:cs="Calibri"/>
          <w:sz w:val="28"/>
          <w:szCs w:val="28"/>
        </w:rPr>
        <w:t xml:space="preserve"> Congress to keep the EPA from overextending its mandate and to direct the EPA not to interfere with Florida’s previously approved clean water program.</w:t>
      </w:r>
      <w:r w:rsidR="005902FA">
        <w:rPr>
          <w:rFonts w:cs="Calibri"/>
          <w:sz w:val="28"/>
          <w:szCs w:val="28"/>
        </w:rPr>
        <w:t xml:space="preserve">  HB 1401 </w:t>
      </w:r>
      <w:r w:rsidR="00B365A9">
        <w:rPr>
          <w:rFonts w:cs="Calibri"/>
          <w:sz w:val="28"/>
          <w:szCs w:val="28"/>
        </w:rPr>
        <w:t>is on the House floor</w:t>
      </w:r>
      <w:r w:rsidR="005902FA">
        <w:rPr>
          <w:rFonts w:cs="Calibri"/>
          <w:sz w:val="28"/>
          <w:szCs w:val="28"/>
        </w:rPr>
        <w:t>.</w:t>
      </w:r>
    </w:p>
    <w:p w:rsidR="007811E0" w:rsidRPr="007811E0" w:rsidRDefault="007811E0" w:rsidP="007811E0">
      <w:pPr>
        <w:spacing w:after="0" w:line="240" w:lineRule="auto"/>
        <w:rPr>
          <w:rFonts w:cs="Calibri"/>
          <w:sz w:val="28"/>
          <w:szCs w:val="28"/>
        </w:rPr>
      </w:pPr>
    </w:p>
    <w:p w:rsidR="008A5241" w:rsidRDefault="008A5241" w:rsidP="008A5241">
      <w:pPr>
        <w:rPr>
          <w:sz w:val="28"/>
          <w:szCs w:val="28"/>
        </w:rPr>
      </w:pPr>
      <w:r w:rsidRPr="008448AD">
        <w:rPr>
          <w:sz w:val="28"/>
          <w:szCs w:val="28"/>
          <w:u w:val="single"/>
        </w:rPr>
        <w:t>Metal recycling (metal theft)</w:t>
      </w:r>
      <w:r>
        <w:rPr>
          <w:sz w:val="28"/>
          <w:szCs w:val="28"/>
        </w:rPr>
        <w:t xml:space="preserve"> – SB 1528 by Sen. Altman and HB 753 by Rep. Ford would amend the recycling and metal theft statutes to make it easier for recyclers to purchase goods from legitimate sellers.  We will have to watch this to make sure it does not weaken the existing statute.  SB 1528 passed out of its first committee.</w:t>
      </w:r>
    </w:p>
    <w:p w:rsidR="008A5241" w:rsidRDefault="008A5241" w:rsidP="008A5241">
      <w:pPr>
        <w:rPr>
          <w:sz w:val="28"/>
          <w:szCs w:val="28"/>
        </w:rPr>
      </w:pPr>
      <w:r w:rsidRPr="000313C4">
        <w:rPr>
          <w:sz w:val="28"/>
          <w:szCs w:val="28"/>
          <w:u w:val="single"/>
        </w:rPr>
        <w:t>Assault or Battery on Utility workers</w:t>
      </w:r>
      <w:r>
        <w:rPr>
          <w:sz w:val="28"/>
          <w:szCs w:val="28"/>
        </w:rPr>
        <w:t xml:space="preserve"> – HB 15 by rep. Soto and SB 734 by Sen. Wise would increase the criminal penalties for committing assault or battery on a utility worker.  SB 734 passed out of its second committee and has one more committee stop.  </w:t>
      </w:r>
    </w:p>
    <w:p w:rsidR="008A5241" w:rsidRPr="0004263D" w:rsidRDefault="008A5241" w:rsidP="008A5241">
      <w:pPr>
        <w:rPr>
          <w:rFonts w:cs="Arial"/>
          <w:color w:val="000000"/>
          <w:sz w:val="28"/>
          <w:szCs w:val="28"/>
        </w:rPr>
      </w:pPr>
      <w:r>
        <w:rPr>
          <w:sz w:val="28"/>
          <w:szCs w:val="28"/>
          <w:u w:val="single"/>
        </w:rPr>
        <w:t>Numeric Nutrient Criteria (NNC)</w:t>
      </w:r>
      <w:r w:rsidRPr="009A02FC">
        <w:rPr>
          <w:sz w:val="28"/>
          <w:szCs w:val="28"/>
        </w:rPr>
        <w:t xml:space="preserve"> </w:t>
      </w:r>
      <w:r>
        <w:rPr>
          <w:sz w:val="28"/>
          <w:szCs w:val="28"/>
        </w:rPr>
        <w:t xml:space="preserve">- HB 239 by Rep. T. Williams and SB 1090 by Sen. Dean and SB 1490 by Sen. Evers would prohibit </w:t>
      </w:r>
      <w:r w:rsidRPr="00AF05E1">
        <w:rPr>
          <w:sz w:val="28"/>
          <w:szCs w:val="28"/>
        </w:rPr>
        <w:t xml:space="preserve">DEP, water management districts, </w:t>
      </w:r>
      <w:r>
        <w:rPr>
          <w:sz w:val="28"/>
          <w:szCs w:val="28"/>
        </w:rPr>
        <w:t>and</w:t>
      </w:r>
      <w:r w:rsidRPr="00AF05E1">
        <w:rPr>
          <w:sz w:val="28"/>
          <w:szCs w:val="28"/>
        </w:rPr>
        <w:t xml:space="preserve"> local governmental entities</w:t>
      </w:r>
      <w:r>
        <w:rPr>
          <w:sz w:val="28"/>
          <w:szCs w:val="28"/>
        </w:rPr>
        <w:t xml:space="preserve"> from implementing EPA’s numeric nutrient water quality criteria (NNC) rules.  The bills would authorize DEP to adopt Florida-specific NNC criteria if DEP determines that such criteria are necessary.  It also </w:t>
      </w:r>
      <w:r w:rsidRPr="00AF05E1">
        <w:rPr>
          <w:sz w:val="28"/>
          <w:szCs w:val="28"/>
        </w:rPr>
        <w:lastRenderedPageBreak/>
        <w:t xml:space="preserve">provides that certain total maximum daily loads </w:t>
      </w:r>
      <w:r>
        <w:rPr>
          <w:sz w:val="28"/>
          <w:szCs w:val="28"/>
        </w:rPr>
        <w:t xml:space="preserve">(TMDL) and </w:t>
      </w:r>
      <w:r w:rsidRPr="00AF05E1">
        <w:rPr>
          <w:sz w:val="28"/>
          <w:szCs w:val="28"/>
        </w:rPr>
        <w:t>associated numeric interpretations constitute site specific numeric nutrient water quality criteria</w:t>
      </w:r>
      <w:r>
        <w:rPr>
          <w:sz w:val="28"/>
          <w:szCs w:val="28"/>
        </w:rPr>
        <w:t xml:space="preserve">, </w:t>
      </w:r>
      <w:r w:rsidRPr="0004263D">
        <w:rPr>
          <w:rFonts w:cs="Calibri"/>
          <w:color w:val="000000"/>
          <w:sz w:val="28"/>
          <w:szCs w:val="28"/>
        </w:rPr>
        <w:t xml:space="preserve">but provides that the TMDLs (now also considered water quality criteria) will still be subject to all of the state flexibility mechanisms, rules, and orders tethered to a TMDL.  </w:t>
      </w:r>
      <w:r>
        <w:rPr>
          <w:rFonts w:cs="Calibri"/>
          <w:color w:val="000000"/>
          <w:sz w:val="28"/>
          <w:szCs w:val="28"/>
        </w:rPr>
        <w:t xml:space="preserve">These bills should help Florida in its lawsuit against EPA, but there </w:t>
      </w:r>
      <w:r w:rsidRPr="0004263D">
        <w:rPr>
          <w:rFonts w:cs="Calibri"/>
          <w:color w:val="000000"/>
          <w:sz w:val="28"/>
          <w:szCs w:val="28"/>
        </w:rPr>
        <w:t>is a risk that th</w:t>
      </w:r>
      <w:r>
        <w:rPr>
          <w:rFonts w:cs="Calibri"/>
          <w:color w:val="000000"/>
          <w:sz w:val="28"/>
          <w:szCs w:val="28"/>
        </w:rPr>
        <w:t>ey</w:t>
      </w:r>
      <w:r w:rsidRPr="0004263D">
        <w:rPr>
          <w:rFonts w:cs="Calibri"/>
          <w:color w:val="000000"/>
          <w:sz w:val="28"/>
          <w:szCs w:val="28"/>
        </w:rPr>
        <w:t xml:space="preserve"> could create a </w:t>
      </w:r>
      <w:r>
        <w:rPr>
          <w:rFonts w:cs="Calibri"/>
          <w:color w:val="000000"/>
          <w:sz w:val="28"/>
          <w:szCs w:val="28"/>
        </w:rPr>
        <w:t xml:space="preserve">situation where a </w:t>
      </w:r>
      <w:r w:rsidRPr="0004263D">
        <w:rPr>
          <w:rFonts w:cs="Calibri"/>
          <w:color w:val="000000"/>
          <w:sz w:val="28"/>
          <w:szCs w:val="28"/>
        </w:rPr>
        <w:t>permit</w:t>
      </w:r>
      <w:r>
        <w:rPr>
          <w:rFonts w:cs="Calibri"/>
          <w:color w:val="000000"/>
          <w:sz w:val="28"/>
          <w:szCs w:val="28"/>
        </w:rPr>
        <w:t xml:space="preserve"> cannot be obtained.  HB 239 passed out of its first committee.</w:t>
      </w:r>
    </w:p>
    <w:p w:rsidR="008A5241" w:rsidRDefault="008A5241" w:rsidP="008A5241">
      <w:pPr>
        <w:rPr>
          <w:rFonts w:cs="Calibri"/>
          <w:sz w:val="28"/>
          <w:szCs w:val="28"/>
        </w:rPr>
      </w:pPr>
      <w:r>
        <w:rPr>
          <w:rFonts w:cs="Calibri"/>
          <w:sz w:val="28"/>
          <w:szCs w:val="28"/>
          <w:u w:val="single"/>
        </w:rPr>
        <w:t>Repeal of Cap-and-Trade Authority</w:t>
      </w:r>
      <w:r w:rsidR="00BA3186" w:rsidRPr="00BA3186">
        <w:rPr>
          <w:rFonts w:cs="Calibri"/>
          <w:sz w:val="28"/>
          <w:szCs w:val="28"/>
        </w:rPr>
        <w:t xml:space="preserve"> </w:t>
      </w:r>
      <w:r w:rsidRPr="00BA3186">
        <w:rPr>
          <w:rFonts w:cs="Calibri"/>
          <w:sz w:val="28"/>
          <w:szCs w:val="28"/>
        </w:rPr>
        <w:t>-</w:t>
      </w:r>
      <w:r>
        <w:rPr>
          <w:rFonts w:cs="Calibri"/>
          <w:sz w:val="28"/>
          <w:szCs w:val="28"/>
        </w:rPr>
        <w:t xml:space="preserve"> HB 4117 by Rep. </w:t>
      </w:r>
      <w:proofErr w:type="spellStart"/>
      <w:r>
        <w:rPr>
          <w:rFonts w:cs="Calibri"/>
          <w:sz w:val="28"/>
          <w:szCs w:val="28"/>
        </w:rPr>
        <w:t>Plakon</w:t>
      </w:r>
      <w:proofErr w:type="spellEnd"/>
      <w:r>
        <w:rPr>
          <w:rFonts w:cs="Calibri"/>
          <w:sz w:val="28"/>
          <w:szCs w:val="28"/>
        </w:rPr>
        <w:t xml:space="preserve"> and SB 762 by Sen. Hayes would repeal the </w:t>
      </w:r>
      <w:r w:rsidRPr="000B6D34">
        <w:rPr>
          <w:rFonts w:cs="Calibri"/>
          <w:sz w:val="28"/>
          <w:szCs w:val="28"/>
        </w:rPr>
        <w:t xml:space="preserve">Florida Climate Protection Act </w:t>
      </w:r>
      <w:r>
        <w:rPr>
          <w:rFonts w:cs="Calibri"/>
          <w:sz w:val="28"/>
          <w:szCs w:val="28"/>
          <w:u w:val="single"/>
        </w:rPr>
        <w:t>(</w:t>
      </w:r>
      <w:r>
        <w:rPr>
          <w:rFonts w:cs="Calibri"/>
          <w:sz w:val="28"/>
          <w:szCs w:val="28"/>
        </w:rPr>
        <w:t>FCPA) that was enacted in 2008 ( HB 7135).  The FCPA authorized DEP to draft a cap-and-trade rule that was subject to ratification by the Legislature.  Even though DEP has discontinued its efforts to draft a cap-and-trade rule, it would be very beneficial to have this law removed from the statutes.  SB 762 passed out of the second committee and has one</w:t>
      </w:r>
      <w:r w:rsidR="00BA3186">
        <w:rPr>
          <w:rFonts w:cs="Calibri"/>
          <w:sz w:val="28"/>
          <w:szCs w:val="28"/>
        </w:rPr>
        <w:t xml:space="preserve"> </w:t>
      </w:r>
      <w:r>
        <w:rPr>
          <w:rFonts w:cs="Calibri"/>
          <w:sz w:val="28"/>
          <w:szCs w:val="28"/>
        </w:rPr>
        <w:t xml:space="preserve">stop left before it goes to the floor.  </w:t>
      </w:r>
    </w:p>
    <w:p w:rsidR="008A5241" w:rsidRDefault="008A5241" w:rsidP="008A5241">
      <w:pPr>
        <w:rPr>
          <w:sz w:val="28"/>
          <w:szCs w:val="28"/>
        </w:rPr>
      </w:pPr>
      <w:r w:rsidRPr="0094556B">
        <w:rPr>
          <w:sz w:val="28"/>
          <w:szCs w:val="28"/>
          <w:u w:val="single"/>
        </w:rPr>
        <w:t>Unclaimed Deposits</w:t>
      </w:r>
      <w:r w:rsidRPr="00BA3186">
        <w:rPr>
          <w:sz w:val="28"/>
          <w:szCs w:val="28"/>
        </w:rPr>
        <w:t xml:space="preserve"> </w:t>
      </w:r>
      <w:r w:rsidRPr="0094556B">
        <w:rPr>
          <w:sz w:val="28"/>
          <w:szCs w:val="28"/>
        </w:rPr>
        <w:t xml:space="preserve">- SB 770 by Sen. </w:t>
      </w:r>
      <w:proofErr w:type="spellStart"/>
      <w:r w:rsidRPr="0094556B">
        <w:rPr>
          <w:sz w:val="28"/>
          <w:szCs w:val="28"/>
        </w:rPr>
        <w:t>Siplin</w:t>
      </w:r>
      <w:proofErr w:type="spellEnd"/>
      <w:r w:rsidRPr="0094556B">
        <w:rPr>
          <w:sz w:val="28"/>
          <w:szCs w:val="28"/>
        </w:rPr>
        <w:t xml:space="preserve"> </w:t>
      </w:r>
      <w:r>
        <w:rPr>
          <w:sz w:val="28"/>
          <w:szCs w:val="28"/>
        </w:rPr>
        <w:t xml:space="preserve">and HB 807 by Taylor </w:t>
      </w:r>
      <w:r w:rsidRPr="0094556B">
        <w:rPr>
          <w:sz w:val="28"/>
          <w:szCs w:val="28"/>
        </w:rPr>
        <w:t xml:space="preserve">would </w:t>
      </w:r>
      <w:r>
        <w:rPr>
          <w:sz w:val="28"/>
          <w:szCs w:val="28"/>
        </w:rPr>
        <w:t xml:space="preserve">require </w:t>
      </w:r>
      <w:r w:rsidRPr="0094556B">
        <w:rPr>
          <w:sz w:val="28"/>
          <w:szCs w:val="28"/>
        </w:rPr>
        <w:t xml:space="preserve">unclaimed utility deposits to </w:t>
      </w:r>
      <w:r>
        <w:rPr>
          <w:sz w:val="28"/>
          <w:szCs w:val="28"/>
        </w:rPr>
        <w:t xml:space="preserve">be put into a newly created </w:t>
      </w:r>
      <w:r w:rsidRPr="0094556B">
        <w:rPr>
          <w:sz w:val="28"/>
          <w:szCs w:val="28"/>
        </w:rPr>
        <w:t>Energy Affordability Trust Fund (EATF).  The trust fund would be created by SB 772</w:t>
      </w:r>
      <w:r>
        <w:rPr>
          <w:sz w:val="28"/>
          <w:szCs w:val="28"/>
        </w:rPr>
        <w:t xml:space="preserve"> (</w:t>
      </w:r>
      <w:r w:rsidRPr="0094556B">
        <w:rPr>
          <w:sz w:val="28"/>
          <w:szCs w:val="28"/>
        </w:rPr>
        <w:t xml:space="preserve">Sen. </w:t>
      </w:r>
      <w:proofErr w:type="spellStart"/>
      <w:r w:rsidRPr="0094556B">
        <w:rPr>
          <w:sz w:val="28"/>
          <w:szCs w:val="28"/>
        </w:rPr>
        <w:t>Siplin</w:t>
      </w:r>
      <w:proofErr w:type="spellEnd"/>
      <w:r>
        <w:rPr>
          <w:sz w:val="28"/>
          <w:szCs w:val="28"/>
        </w:rPr>
        <w:t xml:space="preserve">) and HB 809 (Rep. Taylor) to </w:t>
      </w:r>
      <w:r w:rsidRPr="0094556B">
        <w:rPr>
          <w:sz w:val="28"/>
          <w:szCs w:val="28"/>
        </w:rPr>
        <w:t xml:space="preserve">supplement the Low Income Home Energy Assistance Program.  Currently, unclaimed deposits are sent to the Dept. of Financial Services and held in escrow until claimed by the owner or eligible heir. </w:t>
      </w:r>
      <w:r>
        <w:rPr>
          <w:sz w:val="28"/>
          <w:szCs w:val="28"/>
        </w:rPr>
        <w:t xml:space="preserve">  SBs 770/772 passed out of their first committee.</w:t>
      </w:r>
    </w:p>
    <w:p w:rsidR="00FD1E17" w:rsidRDefault="00FD1E17" w:rsidP="00FD1E17">
      <w:pPr>
        <w:widowControl w:val="0"/>
        <w:jc w:val="both"/>
        <w:rPr>
          <w:sz w:val="28"/>
          <w:u w:val="single"/>
        </w:rPr>
      </w:pPr>
      <w:r>
        <w:rPr>
          <w:sz w:val="28"/>
          <w:u w:val="single"/>
        </w:rPr>
        <w:t>Economic Recovery/</w:t>
      </w:r>
      <w:proofErr w:type="spellStart"/>
      <w:r>
        <w:rPr>
          <w:sz w:val="28"/>
          <w:u w:val="single"/>
        </w:rPr>
        <w:t>Deepwater</w:t>
      </w:r>
      <w:proofErr w:type="spellEnd"/>
      <w:r>
        <w:rPr>
          <w:sz w:val="28"/>
          <w:u w:val="single"/>
        </w:rPr>
        <w:t xml:space="preserve"> Horizon Disaster</w:t>
      </w:r>
      <w:r w:rsidRPr="00BA3186">
        <w:rPr>
          <w:sz w:val="28"/>
        </w:rPr>
        <w:t xml:space="preserve"> </w:t>
      </w:r>
      <w:r>
        <w:rPr>
          <w:sz w:val="28"/>
        </w:rPr>
        <w:t xml:space="preserve">- SB 248 by Sen. Gaetz would extend the expiration dates of certain building permits following the declaration of a state of emergency by the Governor.  The bill would give a tax refund to qualified target industries that relocate from another state to northwest Florida and would appropriate $10 million in recurring funds for the purpose of economic development in northwest Florida.  SB 248 </w:t>
      </w:r>
      <w:r>
        <w:rPr>
          <w:sz w:val="28"/>
          <w:szCs w:val="28"/>
        </w:rPr>
        <w:t>is on the Senate floor.</w:t>
      </w:r>
    </w:p>
    <w:p w:rsidR="00FD1E17" w:rsidRDefault="00FD1E17" w:rsidP="00FD1E17">
      <w:pPr>
        <w:widowControl w:val="0"/>
        <w:jc w:val="both"/>
        <w:rPr>
          <w:sz w:val="28"/>
          <w:szCs w:val="28"/>
        </w:rPr>
      </w:pPr>
      <w:r>
        <w:rPr>
          <w:sz w:val="28"/>
          <w:u w:val="single"/>
        </w:rPr>
        <w:t>Growth Management</w:t>
      </w:r>
      <w:r w:rsidRPr="009A02FC">
        <w:rPr>
          <w:sz w:val="28"/>
        </w:rPr>
        <w:t xml:space="preserve"> </w:t>
      </w:r>
      <w:r>
        <w:rPr>
          <w:sz w:val="28"/>
        </w:rPr>
        <w:t xml:space="preserve">- SB 174 by Sen. Bennett and HB 7001 by Rep. Workman would reenact specific provisions of SB 360, the 2009 growth management </w:t>
      </w:r>
      <w:r>
        <w:rPr>
          <w:sz w:val="28"/>
        </w:rPr>
        <w:lastRenderedPageBreak/>
        <w:t>amendments that have been challenged in the courts.  The bill would address comprehensive plans, concurrency requirements for transportation facilities, notices for new or increased impact fees, and the process for adopting a comprehensive plan.  It also would create</w:t>
      </w:r>
      <w:r w:rsidRPr="00D54FD3">
        <w:rPr>
          <w:sz w:val="28"/>
          <w:szCs w:val="28"/>
        </w:rPr>
        <w:t xml:space="preserve"> </w:t>
      </w:r>
      <w:r w:rsidRPr="009E5931">
        <w:rPr>
          <w:sz w:val="28"/>
          <w:szCs w:val="28"/>
        </w:rPr>
        <w:t>a definition for “dense urban service area” and provide</w:t>
      </w:r>
      <w:r>
        <w:rPr>
          <w:sz w:val="28"/>
          <w:szCs w:val="28"/>
        </w:rPr>
        <w:t>d</w:t>
      </w:r>
      <w:r w:rsidRPr="009E5931">
        <w:rPr>
          <w:sz w:val="28"/>
          <w:szCs w:val="28"/>
        </w:rPr>
        <w:t xml:space="preserve"> </w:t>
      </w:r>
      <w:r>
        <w:rPr>
          <w:sz w:val="28"/>
          <w:szCs w:val="28"/>
        </w:rPr>
        <w:t>a</w:t>
      </w:r>
      <w:r w:rsidRPr="009E5931">
        <w:rPr>
          <w:sz w:val="28"/>
          <w:szCs w:val="28"/>
        </w:rPr>
        <w:t xml:space="preserve"> method of de</w:t>
      </w:r>
      <w:r>
        <w:rPr>
          <w:sz w:val="28"/>
          <w:szCs w:val="28"/>
        </w:rPr>
        <w:t xml:space="preserve">signating these jurisdictions; </w:t>
      </w:r>
      <w:r w:rsidRPr="009E5931">
        <w:rPr>
          <w:sz w:val="28"/>
          <w:szCs w:val="28"/>
        </w:rPr>
        <w:t>create</w:t>
      </w:r>
      <w:r>
        <w:rPr>
          <w:sz w:val="28"/>
          <w:szCs w:val="28"/>
        </w:rPr>
        <w:t>d</w:t>
      </w:r>
      <w:r w:rsidRPr="009E5931">
        <w:rPr>
          <w:sz w:val="28"/>
          <w:szCs w:val="28"/>
        </w:rPr>
        <w:t xml:space="preserve"> transportation concurrency exception areas in municipalities that qualify as dense urban land areas</w:t>
      </w:r>
      <w:r>
        <w:rPr>
          <w:sz w:val="28"/>
          <w:szCs w:val="28"/>
        </w:rPr>
        <w:t xml:space="preserve">; and </w:t>
      </w:r>
      <w:r w:rsidRPr="009E5931">
        <w:rPr>
          <w:sz w:val="28"/>
          <w:szCs w:val="28"/>
        </w:rPr>
        <w:t>extend</w:t>
      </w:r>
      <w:r>
        <w:rPr>
          <w:sz w:val="28"/>
          <w:szCs w:val="28"/>
        </w:rPr>
        <w:t>ed</w:t>
      </w:r>
      <w:r w:rsidRPr="009E5931">
        <w:rPr>
          <w:sz w:val="28"/>
          <w:szCs w:val="28"/>
        </w:rPr>
        <w:t xml:space="preserve"> previously obtained permits and approvals by 2 years.</w:t>
      </w:r>
      <w:r>
        <w:rPr>
          <w:sz w:val="28"/>
          <w:szCs w:val="28"/>
        </w:rPr>
        <w:t xml:space="preserve">  HB 7001 passed and is headed to the Governor. </w:t>
      </w:r>
    </w:p>
    <w:p w:rsidR="00FD1E17" w:rsidRDefault="00FD1E17" w:rsidP="00FD1E17">
      <w:pPr>
        <w:widowControl w:val="0"/>
        <w:jc w:val="both"/>
        <w:rPr>
          <w:sz w:val="28"/>
          <w:szCs w:val="28"/>
        </w:rPr>
      </w:pPr>
      <w:r w:rsidRPr="005B76E3">
        <w:rPr>
          <w:sz w:val="28"/>
          <w:szCs w:val="28"/>
          <w:u w:val="single"/>
        </w:rPr>
        <w:t>Environmental Permitting</w:t>
      </w:r>
      <w:r w:rsidRPr="00964722">
        <w:rPr>
          <w:sz w:val="28"/>
          <w:szCs w:val="28"/>
        </w:rPr>
        <w:t xml:space="preserve"> </w:t>
      </w:r>
      <w:r>
        <w:rPr>
          <w:sz w:val="28"/>
          <w:szCs w:val="28"/>
        </w:rPr>
        <w:t xml:space="preserve">– SB 1404 by Sen. Evers and HB 991 by Rep. </w:t>
      </w:r>
      <w:proofErr w:type="spellStart"/>
      <w:r>
        <w:rPr>
          <w:sz w:val="28"/>
          <w:szCs w:val="28"/>
        </w:rPr>
        <w:t>Patronis</w:t>
      </w:r>
      <w:proofErr w:type="spellEnd"/>
      <w:r>
        <w:rPr>
          <w:sz w:val="28"/>
          <w:szCs w:val="28"/>
        </w:rPr>
        <w:t xml:space="preserve"> would allow local governments to expedite the permitting process for biofuel and renewable facilities.  In addition, the bill revises a number of provisions relating to construction and building </w:t>
      </w:r>
      <w:proofErr w:type="gramStart"/>
      <w:r>
        <w:rPr>
          <w:sz w:val="28"/>
          <w:szCs w:val="28"/>
        </w:rPr>
        <w:t>permits,</w:t>
      </w:r>
      <w:proofErr w:type="gramEnd"/>
      <w:r>
        <w:rPr>
          <w:sz w:val="28"/>
          <w:szCs w:val="28"/>
        </w:rPr>
        <w:t xml:space="preserve"> permit application requirements, local government comprehensive plans and other activities.  The overarching intent is to facilitate coordination among local, state and federal agencies and to implement a more efficient permitting process.  HB 991 passed out of its second committee.</w:t>
      </w:r>
    </w:p>
    <w:p w:rsidR="0058389F" w:rsidRPr="00FD1E17" w:rsidRDefault="00FD1E17" w:rsidP="00FD1E17">
      <w:pPr>
        <w:widowControl w:val="0"/>
        <w:jc w:val="both"/>
        <w:rPr>
          <w:sz w:val="28"/>
          <w:szCs w:val="28"/>
        </w:rPr>
      </w:pPr>
      <w:r>
        <w:rPr>
          <w:sz w:val="28"/>
          <w:szCs w:val="28"/>
          <w:u w:val="single"/>
        </w:rPr>
        <w:t>Biodiesel Manufacturers</w:t>
      </w:r>
      <w:r w:rsidRPr="00964722">
        <w:rPr>
          <w:sz w:val="28"/>
          <w:szCs w:val="28"/>
        </w:rPr>
        <w:t xml:space="preserve"> </w:t>
      </w:r>
      <w:r>
        <w:rPr>
          <w:sz w:val="28"/>
          <w:szCs w:val="28"/>
        </w:rPr>
        <w:t>- SB 1284 by Sen. Bennett would exempt certain biodiesel manufacturers from bonding requirements and certain diesel fuel taxes.  The bill would also set a new fuel standard, which would require that all diesel sold in Florida contain a certain percentage of biodiesel.  SB 1284 passed out of its first committee.</w:t>
      </w:r>
    </w:p>
    <w:p w:rsidR="00B9503F" w:rsidRPr="0004263D" w:rsidRDefault="00BA3186">
      <w:pPr>
        <w:rPr>
          <w:rFonts w:cs="Calibri"/>
          <w:b/>
          <w:sz w:val="28"/>
          <w:szCs w:val="28"/>
          <w:u w:val="single"/>
        </w:rPr>
      </w:pPr>
      <w:r>
        <w:rPr>
          <w:rFonts w:cs="Calibri"/>
          <w:b/>
          <w:sz w:val="28"/>
          <w:szCs w:val="28"/>
          <w:u w:val="single"/>
        </w:rPr>
        <w:t xml:space="preserve">Other </w:t>
      </w:r>
      <w:r w:rsidR="0077784A">
        <w:rPr>
          <w:rFonts w:cs="Calibri"/>
          <w:b/>
          <w:sz w:val="28"/>
          <w:szCs w:val="28"/>
          <w:u w:val="single"/>
        </w:rPr>
        <w:t>Bills</w:t>
      </w:r>
      <w:r>
        <w:rPr>
          <w:rFonts w:cs="Calibri"/>
          <w:b/>
          <w:sz w:val="28"/>
          <w:szCs w:val="28"/>
          <w:u w:val="single"/>
        </w:rPr>
        <w:t xml:space="preserve"> of Interest that have not moved and may become amendments</w:t>
      </w:r>
    </w:p>
    <w:p w:rsidR="009A6A33" w:rsidRDefault="009A6A33" w:rsidP="009A6A33">
      <w:pPr>
        <w:rPr>
          <w:sz w:val="28"/>
          <w:szCs w:val="28"/>
        </w:rPr>
      </w:pPr>
      <w:r>
        <w:rPr>
          <w:sz w:val="28"/>
          <w:szCs w:val="28"/>
          <w:u w:val="single"/>
        </w:rPr>
        <w:t>Retail Wheeling for Renewable Projects</w:t>
      </w:r>
      <w:r>
        <w:rPr>
          <w:sz w:val="28"/>
          <w:szCs w:val="28"/>
        </w:rPr>
        <w:t xml:space="preserve"> – SB 1048 by Sen. Lynn exempts renewable generators of up to 5 MW from the definition of public utility.  These renewable generators will not be regulated by the PSC and may sell electricity to other customers (it is silent as to whether they must be customers of the same utility) regardless of entities that are in the proximity of the generator, including co-op members.  The bill also is silent as to whether we can put these customers </w:t>
      </w:r>
      <w:r>
        <w:rPr>
          <w:sz w:val="28"/>
          <w:szCs w:val="28"/>
        </w:rPr>
        <w:lastRenderedPageBreak/>
        <w:t>on a special rate to insure that the remaining customers do not subsidize the renewable generator</w:t>
      </w:r>
      <w:r w:rsidR="00964722">
        <w:rPr>
          <w:sz w:val="28"/>
          <w:szCs w:val="28"/>
        </w:rPr>
        <w:t>’</w:t>
      </w:r>
      <w:r>
        <w:rPr>
          <w:sz w:val="28"/>
          <w:szCs w:val="28"/>
        </w:rPr>
        <w:t xml:space="preserve">s consumers.  </w:t>
      </w:r>
    </w:p>
    <w:p w:rsidR="009A6A33" w:rsidRDefault="009A6A33" w:rsidP="009A6A33">
      <w:pPr>
        <w:rPr>
          <w:sz w:val="28"/>
          <w:szCs w:val="28"/>
        </w:rPr>
      </w:pPr>
      <w:r w:rsidRPr="009846FE">
        <w:rPr>
          <w:sz w:val="28"/>
          <w:szCs w:val="28"/>
          <w:u w:val="single"/>
        </w:rPr>
        <w:t>Renewable/Clean Energy Standard</w:t>
      </w:r>
      <w:r w:rsidRPr="009846FE">
        <w:rPr>
          <w:sz w:val="28"/>
          <w:szCs w:val="28"/>
        </w:rPr>
        <w:t xml:space="preserve"> - SB </w:t>
      </w:r>
      <w:r>
        <w:rPr>
          <w:sz w:val="28"/>
          <w:szCs w:val="28"/>
        </w:rPr>
        <w:t>1102</w:t>
      </w:r>
      <w:r w:rsidRPr="009846FE">
        <w:rPr>
          <w:sz w:val="28"/>
          <w:szCs w:val="28"/>
        </w:rPr>
        <w:t xml:space="preserve"> by Sen. Detert would create a 20% clean energy standard for IOUs and a penalty for failing to meet the standard.  Clean energy includes renewables and one fourth of the goal can be met with new nuclear and carbon capture and sequestration.  Presently the bill does not include co</w:t>
      </w:r>
      <w:r>
        <w:rPr>
          <w:sz w:val="28"/>
          <w:szCs w:val="28"/>
        </w:rPr>
        <w:t>-</w:t>
      </w:r>
      <w:r w:rsidRPr="009846FE">
        <w:rPr>
          <w:sz w:val="28"/>
          <w:szCs w:val="28"/>
        </w:rPr>
        <w:t xml:space="preserve">ops and municipals.  The bill also would promote natural gas as the preferred fuel for end use consumption.  </w:t>
      </w:r>
    </w:p>
    <w:p w:rsidR="00876F70" w:rsidRDefault="00876F70" w:rsidP="009A6A33">
      <w:pPr>
        <w:rPr>
          <w:sz w:val="28"/>
          <w:szCs w:val="28"/>
        </w:rPr>
      </w:pPr>
      <w:r>
        <w:rPr>
          <w:sz w:val="28"/>
          <w:szCs w:val="28"/>
          <w:u w:val="single"/>
        </w:rPr>
        <w:t>EPA Regulation of GHG</w:t>
      </w:r>
      <w:r w:rsidRPr="00964722">
        <w:rPr>
          <w:sz w:val="28"/>
          <w:szCs w:val="28"/>
        </w:rPr>
        <w:t xml:space="preserve"> </w:t>
      </w:r>
      <w:r>
        <w:rPr>
          <w:sz w:val="28"/>
          <w:szCs w:val="28"/>
        </w:rPr>
        <w:t>- SR 1260 by Sen. Bennett is a resolution to Congress opposing the Environmental Protection Agency</w:t>
      </w:r>
      <w:r w:rsidR="007811E0">
        <w:rPr>
          <w:sz w:val="28"/>
          <w:szCs w:val="28"/>
        </w:rPr>
        <w:t>’s</w:t>
      </w:r>
      <w:r>
        <w:rPr>
          <w:sz w:val="28"/>
          <w:szCs w:val="28"/>
        </w:rPr>
        <w:t xml:space="preserve"> (EPA) regulat</w:t>
      </w:r>
      <w:r w:rsidR="007811E0">
        <w:rPr>
          <w:sz w:val="28"/>
          <w:szCs w:val="28"/>
        </w:rPr>
        <w:t>ion of</w:t>
      </w:r>
      <w:r>
        <w:rPr>
          <w:sz w:val="28"/>
          <w:szCs w:val="28"/>
        </w:rPr>
        <w:t xml:space="preserve"> greenhouse gasses (GHG) under the Clean Air Act.  The resolution request</w:t>
      </w:r>
      <w:r w:rsidR="007811E0">
        <w:rPr>
          <w:sz w:val="28"/>
          <w:szCs w:val="28"/>
        </w:rPr>
        <w:t>s</w:t>
      </w:r>
      <w:r>
        <w:rPr>
          <w:sz w:val="28"/>
          <w:szCs w:val="28"/>
        </w:rPr>
        <w:t xml:space="preserve"> </w:t>
      </w:r>
      <w:r w:rsidR="007811E0">
        <w:rPr>
          <w:sz w:val="28"/>
          <w:szCs w:val="28"/>
        </w:rPr>
        <w:t xml:space="preserve">that the </w:t>
      </w:r>
      <w:r>
        <w:rPr>
          <w:sz w:val="28"/>
          <w:szCs w:val="28"/>
        </w:rPr>
        <w:t xml:space="preserve">EPA not make an endangerment finding for GHG and </w:t>
      </w:r>
      <w:r w:rsidR="007811E0">
        <w:rPr>
          <w:sz w:val="28"/>
          <w:szCs w:val="28"/>
        </w:rPr>
        <w:t xml:space="preserve">to </w:t>
      </w:r>
      <w:r>
        <w:rPr>
          <w:sz w:val="28"/>
          <w:szCs w:val="28"/>
        </w:rPr>
        <w:t>not pursue regulation of GHG.</w:t>
      </w:r>
    </w:p>
    <w:p w:rsidR="00876F70" w:rsidRDefault="00876F70" w:rsidP="009A6A33">
      <w:pPr>
        <w:rPr>
          <w:sz w:val="28"/>
          <w:szCs w:val="28"/>
        </w:rPr>
      </w:pPr>
      <w:r>
        <w:rPr>
          <w:sz w:val="28"/>
          <w:szCs w:val="28"/>
          <w:u w:val="single"/>
        </w:rPr>
        <w:t>Expansion of PSC Jurisdiction</w:t>
      </w:r>
      <w:r w:rsidRPr="00964722">
        <w:rPr>
          <w:sz w:val="28"/>
          <w:szCs w:val="28"/>
        </w:rPr>
        <w:t xml:space="preserve"> </w:t>
      </w:r>
      <w:r>
        <w:rPr>
          <w:sz w:val="28"/>
          <w:szCs w:val="28"/>
        </w:rPr>
        <w:t>- HB 899 by Rep. Mayfield would place the City of Vero Beach Electric Utility (VBEU) under the jurisdiction of the PSC as a public utility and subject to full rate regulation.  The bill allows VBEU to maintain the ability to levy a public service tax to customers inside the city limits and a similar surcharge to those outside city limits.  The bill is ambiguous on whether or not the PSC would have to approve the public service tax or surcharge, but the bill states that VBEU would have to provide justification for customers outside city limits.  VBEU would not be considered a public utility and fully regulated by the PSC if VBEU stopped serving customers outside the city limits.</w:t>
      </w:r>
    </w:p>
    <w:p w:rsidR="00CF0421" w:rsidRDefault="00AF54B7">
      <w:pPr>
        <w:rPr>
          <w:rFonts w:cs="Calibri"/>
          <w:sz w:val="28"/>
          <w:szCs w:val="28"/>
        </w:rPr>
      </w:pPr>
      <w:r w:rsidRPr="00DA2989">
        <w:rPr>
          <w:rFonts w:cs="Calibri"/>
          <w:sz w:val="28"/>
          <w:szCs w:val="28"/>
          <w:u w:val="single"/>
        </w:rPr>
        <w:t>Renewable Energy Tax/Solar Incentives</w:t>
      </w:r>
      <w:r w:rsidR="009A02FC" w:rsidRPr="009A02FC">
        <w:rPr>
          <w:rFonts w:cs="Calibri"/>
          <w:sz w:val="28"/>
          <w:szCs w:val="28"/>
        </w:rPr>
        <w:t xml:space="preserve"> </w:t>
      </w:r>
      <w:r w:rsidRPr="009A02FC">
        <w:rPr>
          <w:rFonts w:cs="Calibri"/>
          <w:sz w:val="28"/>
          <w:szCs w:val="28"/>
        </w:rPr>
        <w:t>-</w:t>
      </w:r>
      <w:r w:rsidRPr="00DA2989">
        <w:rPr>
          <w:rFonts w:cs="Calibri"/>
          <w:sz w:val="28"/>
          <w:szCs w:val="28"/>
        </w:rPr>
        <w:t xml:space="preserve"> </w:t>
      </w:r>
      <w:r w:rsidR="00B55620" w:rsidRPr="00AF05E1">
        <w:rPr>
          <w:rFonts w:cs="Calibri"/>
          <w:sz w:val="28"/>
          <w:szCs w:val="28"/>
        </w:rPr>
        <w:t xml:space="preserve">SB 282 </w:t>
      </w:r>
      <w:r w:rsidRPr="00AF05E1">
        <w:rPr>
          <w:rFonts w:cs="Calibri"/>
          <w:sz w:val="28"/>
          <w:szCs w:val="28"/>
        </w:rPr>
        <w:t>by Sen. Bennett</w:t>
      </w:r>
      <w:r w:rsidR="00225198" w:rsidRPr="00AF05E1">
        <w:rPr>
          <w:rFonts w:cs="Calibri"/>
          <w:sz w:val="28"/>
          <w:szCs w:val="28"/>
        </w:rPr>
        <w:t xml:space="preserve"> and HB 219 by Rep. Rehwinkle-Vasilinda</w:t>
      </w:r>
      <w:r w:rsidRPr="009F61A4">
        <w:rPr>
          <w:rFonts w:cs="Calibri"/>
          <w:sz w:val="28"/>
          <w:szCs w:val="28"/>
        </w:rPr>
        <w:t xml:space="preserve"> would require each electric utility, including co-ops, to collect a monthly 25¢ tax on </w:t>
      </w:r>
      <w:r w:rsidR="002E046A">
        <w:rPr>
          <w:rFonts w:cs="Calibri"/>
          <w:sz w:val="28"/>
          <w:szCs w:val="28"/>
        </w:rPr>
        <w:t xml:space="preserve">each </w:t>
      </w:r>
      <w:r w:rsidRPr="002E046A">
        <w:rPr>
          <w:rFonts w:cs="Calibri"/>
          <w:sz w:val="28"/>
          <w:szCs w:val="28"/>
        </w:rPr>
        <w:t>customer.  The proceeds from this tax would be deposited in a trust fund (created by SB 2</w:t>
      </w:r>
      <w:r w:rsidR="00B55620" w:rsidRPr="002E046A">
        <w:rPr>
          <w:rFonts w:cs="Calibri"/>
          <w:sz w:val="28"/>
          <w:szCs w:val="28"/>
        </w:rPr>
        <w:t>84</w:t>
      </w:r>
      <w:r w:rsidR="00225198" w:rsidRPr="002E046A">
        <w:rPr>
          <w:rFonts w:cs="Calibri"/>
          <w:sz w:val="28"/>
          <w:szCs w:val="28"/>
        </w:rPr>
        <w:t xml:space="preserve"> and HB 221</w:t>
      </w:r>
      <w:r w:rsidRPr="002E046A">
        <w:rPr>
          <w:rFonts w:cs="Calibri"/>
          <w:sz w:val="28"/>
          <w:szCs w:val="28"/>
        </w:rPr>
        <w:t xml:space="preserve">).  The Florida Energy Office, through a committee of political appointees, would utilize the funds to subsidize conservation, </w:t>
      </w:r>
      <w:r w:rsidR="00B55620" w:rsidRPr="002E046A">
        <w:rPr>
          <w:rFonts w:cs="Calibri"/>
          <w:sz w:val="28"/>
          <w:szCs w:val="28"/>
        </w:rPr>
        <w:t>efficiency,</w:t>
      </w:r>
      <w:r w:rsidRPr="002E046A">
        <w:rPr>
          <w:rFonts w:cs="Calibri"/>
          <w:sz w:val="28"/>
          <w:szCs w:val="28"/>
        </w:rPr>
        <w:t xml:space="preserve"> and renewable energy projects</w:t>
      </w:r>
      <w:r w:rsidR="00EA63F9">
        <w:rPr>
          <w:rFonts w:cs="Calibri"/>
          <w:sz w:val="28"/>
          <w:szCs w:val="28"/>
        </w:rPr>
        <w:t>, but m</w:t>
      </w:r>
      <w:r w:rsidR="00EA63F9" w:rsidRPr="000E3506">
        <w:rPr>
          <w:rFonts w:cs="Calibri"/>
          <w:sz w:val="28"/>
          <w:szCs w:val="28"/>
        </w:rPr>
        <w:t>unicipal solid wast</w:t>
      </w:r>
      <w:r w:rsidR="00EA63F9" w:rsidRPr="00EA63F9">
        <w:rPr>
          <w:rFonts w:cs="Calibri"/>
          <w:sz w:val="28"/>
          <w:szCs w:val="28"/>
        </w:rPr>
        <w:t xml:space="preserve">e </w:t>
      </w:r>
      <w:r w:rsidR="00EA63F9">
        <w:rPr>
          <w:rFonts w:cs="Calibri"/>
          <w:sz w:val="28"/>
          <w:szCs w:val="28"/>
        </w:rPr>
        <w:t>projects would not be eligible for subsidies from the trust fund</w:t>
      </w:r>
      <w:r w:rsidRPr="002E046A">
        <w:rPr>
          <w:rFonts w:cs="Calibri"/>
          <w:sz w:val="28"/>
          <w:szCs w:val="28"/>
        </w:rPr>
        <w:t xml:space="preserve">.  </w:t>
      </w:r>
      <w:r w:rsidR="00EA63F9">
        <w:rPr>
          <w:rFonts w:cs="Calibri"/>
          <w:sz w:val="28"/>
          <w:szCs w:val="28"/>
        </w:rPr>
        <w:t>It</w:t>
      </w:r>
      <w:r w:rsidRPr="002E046A">
        <w:rPr>
          <w:rFonts w:cs="Calibri"/>
          <w:sz w:val="28"/>
          <w:szCs w:val="28"/>
        </w:rPr>
        <w:t xml:space="preserve"> </w:t>
      </w:r>
      <w:r w:rsidR="002E046A">
        <w:rPr>
          <w:rFonts w:cs="Calibri"/>
          <w:sz w:val="28"/>
          <w:szCs w:val="28"/>
        </w:rPr>
        <w:t>renews</w:t>
      </w:r>
      <w:r w:rsidRPr="002E046A">
        <w:rPr>
          <w:rFonts w:cs="Calibri"/>
          <w:sz w:val="28"/>
          <w:szCs w:val="28"/>
        </w:rPr>
        <w:t xml:space="preserve"> the solar rebate progr</w:t>
      </w:r>
      <w:r w:rsidR="00B55620" w:rsidRPr="002E046A">
        <w:rPr>
          <w:rFonts w:cs="Calibri"/>
          <w:sz w:val="28"/>
          <w:szCs w:val="28"/>
        </w:rPr>
        <w:t>am through 2016</w:t>
      </w:r>
      <w:r w:rsidRPr="002E046A">
        <w:rPr>
          <w:rFonts w:cs="Calibri"/>
          <w:sz w:val="28"/>
          <w:szCs w:val="28"/>
        </w:rPr>
        <w:t xml:space="preserve">, but </w:t>
      </w:r>
      <w:r w:rsidR="000E3506">
        <w:rPr>
          <w:rFonts w:cs="Calibri"/>
          <w:sz w:val="28"/>
          <w:szCs w:val="28"/>
        </w:rPr>
        <w:t xml:space="preserve">would </w:t>
      </w:r>
      <w:r w:rsidRPr="002E046A">
        <w:rPr>
          <w:rFonts w:cs="Calibri"/>
          <w:sz w:val="28"/>
          <w:szCs w:val="28"/>
        </w:rPr>
        <w:t xml:space="preserve">reduce the rebate to </w:t>
      </w:r>
      <w:r w:rsidRPr="002E046A">
        <w:rPr>
          <w:rFonts w:cs="Calibri"/>
          <w:sz w:val="28"/>
          <w:szCs w:val="28"/>
        </w:rPr>
        <w:lastRenderedPageBreak/>
        <w:t xml:space="preserve">$2.50 per watt for the first </w:t>
      </w:r>
      <w:r w:rsidR="00B55620" w:rsidRPr="000E3506">
        <w:rPr>
          <w:rFonts w:cs="Calibri"/>
          <w:sz w:val="28"/>
          <w:szCs w:val="28"/>
        </w:rPr>
        <w:t>year, $2 per watt for the next 2</w:t>
      </w:r>
      <w:r w:rsidRPr="000E3506">
        <w:rPr>
          <w:rFonts w:cs="Calibri"/>
          <w:sz w:val="28"/>
          <w:szCs w:val="28"/>
        </w:rPr>
        <w:t xml:space="preserve"> years, and $1.50 per watt after that.  </w:t>
      </w:r>
      <w:r w:rsidR="00D00568">
        <w:rPr>
          <w:rFonts w:cs="Calibri"/>
          <w:sz w:val="28"/>
          <w:szCs w:val="28"/>
        </w:rPr>
        <w:t>The b</w:t>
      </w:r>
      <w:r w:rsidR="00EA63F9">
        <w:rPr>
          <w:rFonts w:cs="Calibri"/>
          <w:sz w:val="28"/>
          <w:szCs w:val="28"/>
        </w:rPr>
        <w:t>ill</w:t>
      </w:r>
      <w:r w:rsidR="00D00568">
        <w:rPr>
          <w:rFonts w:cs="Calibri"/>
          <w:sz w:val="28"/>
          <w:szCs w:val="28"/>
        </w:rPr>
        <w:t>s</w:t>
      </w:r>
      <w:r w:rsidRPr="00EA63F9">
        <w:rPr>
          <w:rFonts w:cs="Calibri"/>
          <w:sz w:val="28"/>
          <w:szCs w:val="28"/>
        </w:rPr>
        <w:t xml:space="preserve"> appear to allow public utilities to recover costs </w:t>
      </w:r>
      <w:r w:rsidR="00EA63F9">
        <w:rPr>
          <w:rFonts w:cs="Calibri"/>
          <w:sz w:val="28"/>
          <w:szCs w:val="28"/>
        </w:rPr>
        <w:t xml:space="preserve">that are </w:t>
      </w:r>
      <w:r w:rsidRPr="00EA63F9">
        <w:rPr>
          <w:rFonts w:cs="Calibri"/>
          <w:sz w:val="28"/>
          <w:szCs w:val="28"/>
        </w:rPr>
        <w:t xml:space="preserve">above avoided costs </w:t>
      </w:r>
      <w:r w:rsidR="00EA63F9">
        <w:rPr>
          <w:rFonts w:cs="Calibri"/>
          <w:sz w:val="28"/>
          <w:szCs w:val="28"/>
        </w:rPr>
        <w:t xml:space="preserve">if they </w:t>
      </w:r>
      <w:r w:rsidRPr="00EA63F9">
        <w:rPr>
          <w:rFonts w:cs="Calibri"/>
          <w:sz w:val="28"/>
          <w:szCs w:val="28"/>
        </w:rPr>
        <w:t xml:space="preserve">purchase power from these projects.  </w:t>
      </w:r>
    </w:p>
    <w:p w:rsidR="00CD5144" w:rsidRPr="00907E8B" w:rsidRDefault="00CD5144" w:rsidP="00CD5144">
      <w:pPr>
        <w:jc w:val="both"/>
        <w:rPr>
          <w:sz w:val="28"/>
          <w:szCs w:val="28"/>
        </w:rPr>
      </w:pPr>
      <w:r>
        <w:rPr>
          <w:sz w:val="28"/>
          <w:szCs w:val="28"/>
          <w:u w:val="single"/>
        </w:rPr>
        <w:t>Unemployment Compensation</w:t>
      </w:r>
      <w:r w:rsidRPr="00BA3186">
        <w:rPr>
          <w:sz w:val="28"/>
          <w:szCs w:val="28"/>
        </w:rPr>
        <w:t xml:space="preserve"> </w:t>
      </w:r>
      <w:r>
        <w:rPr>
          <w:sz w:val="28"/>
          <w:szCs w:val="28"/>
        </w:rPr>
        <w:t xml:space="preserve">- HB 7005 by Rep. Holder </w:t>
      </w:r>
      <w:r w:rsidR="000313C4">
        <w:rPr>
          <w:sz w:val="28"/>
          <w:szCs w:val="28"/>
        </w:rPr>
        <w:t xml:space="preserve">and SB 728 by Sen. Detert </w:t>
      </w:r>
      <w:r>
        <w:rPr>
          <w:sz w:val="28"/>
          <w:szCs w:val="28"/>
        </w:rPr>
        <w:t xml:space="preserve">would prevent an unemployment tax increase by making it more difficult to qualify for unemployment benefits and reducing benefits.  Because of the high number of people drawing benefits, the unemployment trust fund has been depleted.  The depletion has triggered a statutory mechanism that will raise the unemployment tax unless there is new legislation.  </w:t>
      </w:r>
      <w:r w:rsidR="003C12E9">
        <w:rPr>
          <w:sz w:val="28"/>
          <w:szCs w:val="28"/>
        </w:rPr>
        <w:t>SB 728 has one stop left before the floor and HB 7005 passed out of the House</w:t>
      </w:r>
      <w:r w:rsidR="007811E0">
        <w:rPr>
          <w:sz w:val="28"/>
          <w:szCs w:val="28"/>
        </w:rPr>
        <w:t>.</w:t>
      </w:r>
    </w:p>
    <w:p w:rsidR="00CD5144" w:rsidRDefault="00CD5144" w:rsidP="00CD5144">
      <w:pPr>
        <w:widowControl w:val="0"/>
        <w:jc w:val="both"/>
        <w:rPr>
          <w:sz w:val="28"/>
          <w:szCs w:val="28"/>
        </w:rPr>
      </w:pPr>
      <w:r w:rsidRPr="00C30D84">
        <w:rPr>
          <w:sz w:val="28"/>
          <w:szCs w:val="28"/>
          <w:u w:val="single"/>
        </w:rPr>
        <w:t>Green Jobs Tax Credit</w:t>
      </w:r>
      <w:r w:rsidRPr="00BA3186">
        <w:rPr>
          <w:sz w:val="28"/>
          <w:szCs w:val="28"/>
        </w:rPr>
        <w:t xml:space="preserve"> </w:t>
      </w:r>
      <w:r w:rsidR="00352C00">
        <w:rPr>
          <w:sz w:val="28"/>
          <w:szCs w:val="28"/>
        </w:rPr>
        <w:t>–</w:t>
      </w:r>
      <w:r>
        <w:rPr>
          <w:sz w:val="28"/>
          <w:szCs w:val="28"/>
        </w:rPr>
        <w:t xml:space="preserve"> </w:t>
      </w:r>
      <w:r w:rsidR="00352C00">
        <w:rPr>
          <w:sz w:val="28"/>
          <w:szCs w:val="28"/>
        </w:rPr>
        <w:t xml:space="preserve">SB 1958 by Sen. Smith and </w:t>
      </w:r>
      <w:r>
        <w:rPr>
          <w:sz w:val="28"/>
          <w:szCs w:val="28"/>
        </w:rPr>
        <w:t>HB 447 by Rep. Alan Williams would create a tax credit for the creation of Green Jobs.  The bill would define Green Jobs as employment in an industry related to alternative and renewable energy, including manufacturing jobs.  Beginning in Jan. 2012 the bill would allow an employer a $500 tax credit per full-time employee earning more than $50,000 a year.  If the employers’ tax credits exceed the liability, then the credit could be carried forward each year until the program expires in Jan. 2017.  Additionally, the bill would create the Green Jobs Council to work with stakeholders to develop strategic initiatives.</w:t>
      </w:r>
    </w:p>
    <w:p w:rsidR="00CD5144" w:rsidRDefault="00CD5144" w:rsidP="00CD5144">
      <w:pPr>
        <w:rPr>
          <w:sz w:val="28"/>
          <w:szCs w:val="28"/>
        </w:rPr>
      </w:pPr>
      <w:r w:rsidRPr="004C3AB3">
        <w:rPr>
          <w:sz w:val="28"/>
          <w:szCs w:val="28"/>
          <w:u w:val="single"/>
        </w:rPr>
        <w:t>PSC</w:t>
      </w:r>
      <w:r w:rsidRPr="004C3AB3">
        <w:rPr>
          <w:sz w:val="28"/>
          <w:szCs w:val="28"/>
        </w:rPr>
        <w:t xml:space="preserve"> </w:t>
      </w:r>
      <w:r>
        <w:rPr>
          <w:sz w:val="28"/>
          <w:szCs w:val="28"/>
        </w:rPr>
        <w:t>–</w:t>
      </w:r>
      <w:r w:rsidRPr="004C3AB3">
        <w:rPr>
          <w:sz w:val="28"/>
          <w:szCs w:val="28"/>
        </w:rPr>
        <w:t xml:space="preserve"> SB</w:t>
      </w:r>
      <w:r>
        <w:rPr>
          <w:sz w:val="28"/>
          <w:szCs w:val="28"/>
        </w:rPr>
        <w:t xml:space="preserve"> 804</w:t>
      </w:r>
      <w:r w:rsidRPr="004C3AB3">
        <w:rPr>
          <w:sz w:val="28"/>
          <w:szCs w:val="28"/>
        </w:rPr>
        <w:t xml:space="preserve"> by Sen. Fasano</w:t>
      </w:r>
      <w:r>
        <w:rPr>
          <w:sz w:val="28"/>
          <w:szCs w:val="28"/>
        </w:rPr>
        <w:t xml:space="preserve"> and HB 719 by Rep. Vasilinda</w:t>
      </w:r>
      <w:r w:rsidRPr="004C3AB3">
        <w:rPr>
          <w:sz w:val="28"/>
          <w:szCs w:val="28"/>
        </w:rPr>
        <w:t xml:space="preserve"> would require PSC commissioners to be elected rather than appointed.  Candidates would not be able to raise campaign funds from any entity that is regulated by the PSC.</w:t>
      </w:r>
    </w:p>
    <w:p w:rsidR="008A5241" w:rsidRPr="007811E0" w:rsidRDefault="008A5241" w:rsidP="008A5241">
      <w:pPr>
        <w:spacing w:after="0" w:line="240" w:lineRule="auto"/>
        <w:rPr>
          <w:rFonts w:cs="Calibri"/>
          <w:sz w:val="28"/>
          <w:szCs w:val="28"/>
        </w:rPr>
      </w:pPr>
      <w:r w:rsidRPr="007811E0">
        <w:rPr>
          <w:rFonts w:cs="Calibri"/>
          <w:sz w:val="28"/>
          <w:szCs w:val="28"/>
          <w:u w:val="single"/>
        </w:rPr>
        <w:t>Energy Efficiency Products</w:t>
      </w:r>
      <w:r w:rsidRPr="0058389F">
        <w:rPr>
          <w:rFonts w:cs="Calibri"/>
          <w:sz w:val="28"/>
          <w:szCs w:val="28"/>
        </w:rPr>
        <w:t xml:space="preserve"> </w:t>
      </w:r>
      <w:r w:rsidRPr="007811E0">
        <w:rPr>
          <w:rFonts w:cs="Calibri"/>
          <w:sz w:val="28"/>
          <w:szCs w:val="28"/>
        </w:rPr>
        <w:t>- HB 1365 by Rep. Williams would exempt certain energy efficient products from sales tax.  The bill would allow the exemption to recur annually in October and last four days.</w:t>
      </w:r>
    </w:p>
    <w:p w:rsidR="008A5241" w:rsidRPr="007811E0" w:rsidRDefault="008A5241" w:rsidP="008A5241">
      <w:pPr>
        <w:spacing w:after="0" w:line="240" w:lineRule="auto"/>
        <w:rPr>
          <w:rFonts w:cs="Calibri"/>
          <w:sz w:val="28"/>
          <w:szCs w:val="28"/>
        </w:rPr>
      </w:pPr>
    </w:p>
    <w:p w:rsidR="008A5241" w:rsidRPr="007811E0" w:rsidRDefault="008A5241" w:rsidP="008A5241">
      <w:pPr>
        <w:spacing w:after="0" w:line="240" w:lineRule="auto"/>
        <w:rPr>
          <w:rFonts w:cs="Calibri"/>
          <w:sz w:val="28"/>
          <w:szCs w:val="28"/>
        </w:rPr>
      </w:pPr>
      <w:r w:rsidRPr="007811E0">
        <w:rPr>
          <w:rFonts w:cs="Calibri"/>
          <w:sz w:val="28"/>
          <w:szCs w:val="28"/>
          <w:u w:val="single"/>
        </w:rPr>
        <w:t>Off Shore Drilling Resolution</w:t>
      </w:r>
      <w:r w:rsidRPr="0058389F">
        <w:rPr>
          <w:rFonts w:cs="Calibri"/>
          <w:sz w:val="28"/>
          <w:szCs w:val="28"/>
        </w:rPr>
        <w:t xml:space="preserve"> </w:t>
      </w:r>
      <w:r w:rsidRPr="007811E0">
        <w:rPr>
          <w:rFonts w:cs="Calibri"/>
          <w:sz w:val="28"/>
          <w:szCs w:val="28"/>
        </w:rPr>
        <w:t xml:space="preserve">- HM 1357 by Rep Baxley is a resolution </w:t>
      </w:r>
      <w:r>
        <w:rPr>
          <w:rFonts w:cs="Calibri"/>
          <w:sz w:val="28"/>
          <w:szCs w:val="28"/>
        </w:rPr>
        <w:t xml:space="preserve">urging </w:t>
      </w:r>
      <w:r w:rsidRPr="007811E0">
        <w:rPr>
          <w:rFonts w:cs="Calibri"/>
          <w:sz w:val="28"/>
          <w:szCs w:val="28"/>
        </w:rPr>
        <w:t xml:space="preserve">Congress to support offshore drilling </w:t>
      </w:r>
      <w:r>
        <w:rPr>
          <w:rFonts w:cs="Calibri"/>
          <w:sz w:val="28"/>
          <w:szCs w:val="28"/>
        </w:rPr>
        <w:t xml:space="preserve">and to allow Florida </w:t>
      </w:r>
      <w:r w:rsidRPr="007811E0">
        <w:rPr>
          <w:rFonts w:cs="Calibri"/>
          <w:sz w:val="28"/>
          <w:szCs w:val="28"/>
        </w:rPr>
        <w:t>to receive revenues resulting from oil and gas exploration.</w:t>
      </w:r>
    </w:p>
    <w:p w:rsidR="008A5241" w:rsidRPr="007811E0" w:rsidRDefault="008A5241" w:rsidP="008A5241">
      <w:pPr>
        <w:spacing w:after="0" w:line="240" w:lineRule="auto"/>
        <w:rPr>
          <w:rFonts w:cs="Calibri"/>
          <w:sz w:val="28"/>
          <w:szCs w:val="28"/>
        </w:rPr>
      </w:pPr>
    </w:p>
    <w:p w:rsidR="008A5241" w:rsidRDefault="008A5241" w:rsidP="008A5241">
      <w:pPr>
        <w:spacing w:after="0" w:line="240" w:lineRule="auto"/>
        <w:rPr>
          <w:rFonts w:cs="Calibri"/>
          <w:sz w:val="28"/>
          <w:szCs w:val="28"/>
        </w:rPr>
      </w:pPr>
      <w:r w:rsidRPr="007811E0">
        <w:rPr>
          <w:rFonts w:cs="Calibri"/>
          <w:sz w:val="28"/>
          <w:szCs w:val="28"/>
          <w:u w:val="single"/>
        </w:rPr>
        <w:lastRenderedPageBreak/>
        <w:t>Right-of-Way Relocation</w:t>
      </w:r>
      <w:r w:rsidRPr="0058389F">
        <w:rPr>
          <w:rFonts w:cs="Calibri"/>
          <w:sz w:val="28"/>
          <w:szCs w:val="28"/>
        </w:rPr>
        <w:t xml:space="preserve"> </w:t>
      </w:r>
      <w:r w:rsidRPr="007811E0">
        <w:rPr>
          <w:rFonts w:cs="Calibri"/>
          <w:sz w:val="28"/>
          <w:szCs w:val="28"/>
        </w:rPr>
        <w:t xml:space="preserve">- SB 1934 by Sen. Evers and HB 1389 by Rep. </w:t>
      </w:r>
      <w:proofErr w:type="spellStart"/>
      <w:r w:rsidRPr="007811E0">
        <w:rPr>
          <w:rFonts w:cs="Calibri"/>
          <w:sz w:val="28"/>
          <w:szCs w:val="28"/>
        </w:rPr>
        <w:t>Kreegel</w:t>
      </w:r>
      <w:proofErr w:type="spellEnd"/>
      <w:r w:rsidRPr="007811E0">
        <w:rPr>
          <w:rFonts w:cs="Calibri"/>
          <w:sz w:val="28"/>
          <w:szCs w:val="28"/>
        </w:rPr>
        <w:t xml:space="preserve"> would clarify that a utility must initiate the process of pole removal or relocation </w:t>
      </w:r>
      <w:r>
        <w:rPr>
          <w:rFonts w:cs="Calibri"/>
          <w:sz w:val="28"/>
          <w:szCs w:val="28"/>
        </w:rPr>
        <w:t xml:space="preserve">(instead of </w:t>
      </w:r>
      <w:r w:rsidRPr="007811E0">
        <w:rPr>
          <w:rFonts w:cs="Calibri"/>
          <w:sz w:val="28"/>
          <w:szCs w:val="28"/>
        </w:rPr>
        <w:t>actually complet</w:t>
      </w:r>
      <w:r>
        <w:rPr>
          <w:rFonts w:cs="Calibri"/>
          <w:sz w:val="28"/>
          <w:szCs w:val="28"/>
        </w:rPr>
        <w:t>ing</w:t>
      </w:r>
      <w:r w:rsidRPr="007811E0">
        <w:rPr>
          <w:rFonts w:cs="Calibri"/>
          <w:sz w:val="28"/>
          <w:szCs w:val="28"/>
        </w:rPr>
        <w:t xml:space="preserve"> the removal or relocation</w:t>
      </w:r>
      <w:r>
        <w:rPr>
          <w:rFonts w:cs="Calibri"/>
          <w:sz w:val="28"/>
          <w:szCs w:val="28"/>
        </w:rPr>
        <w:t>)</w:t>
      </w:r>
      <w:r w:rsidRPr="007811E0">
        <w:rPr>
          <w:rFonts w:cs="Calibri"/>
          <w:sz w:val="28"/>
          <w:szCs w:val="28"/>
        </w:rPr>
        <w:t xml:space="preserve"> within 30 days </w:t>
      </w:r>
      <w:r>
        <w:rPr>
          <w:rFonts w:cs="Calibri"/>
          <w:sz w:val="28"/>
          <w:szCs w:val="28"/>
        </w:rPr>
        <w:t xml:space="preserve">of </w:t>
      </w:r>
      <w:r w:rsidRPr="007811E0">
        <w:rPr>
          <w:rFonts w:cs="Calibri"/>
          <w:sz w:val="28"/>
          <w:szCs w:val="28"/>
        </w:rPr>
        <w:t xml:space="preserve">notice by the DOT or other authority.  In addition, if DOT purchases the property on which a utility is already located, DOT </w:t>
      </w:r>
      <w:r>
        <w:rPr>
          <w:rFonts w:cs="Calibri"/>
          <w:sz w:val="28"/>
          <w:szCs w:val="28"/>
        </w:rPr>
        <w:t xml:space="preserve">would have to </w:t>
      </w:r>
      <w:r w:rsidRPr="007811E0">
        <w:rPr>
          <w:rFonts w:cs="Calibri"/>
          <w:sz w:val="28"/>
          <w:szCs w:val="28"/>
        </w:rPr>
        <w:t xml:space="preserve">pay the costs of removing or relocating facilities.  DOT </w:t>
      </w:r>
      <w:r>
        <w:rPr>
          <w:rFonts w:cs="Calibri"/>
          <w:sz w:val="28"/>
          <w:szCs w:val="28"/>
        </w:rPr>
        <w:t xml:space="preserve">also would have to </w:t>
      </w:r>
      <w:r w:rsidRPr="007811E0">
        <w:rPr>
          <w:rFonts w:cs="Calibri"/>
          <w:sz w:val="28"/>
          <w:szCs w:val="28"/>
        </w:rPr>
        <w:t xml:space="preserve">pay for relocations if the utility has previously transferred its property interest to DOT without compensation, if the utility is located on the Turnpike Homestead extension and a permit was issued by the DOT to the utility in 1972. </w:t>
      </w:r>
    </w:p>
    <w:p w:rsidR="008A5241" w:rsidRDefault="008A5241" w:rsidP="008A5241">
      <w:pPr>
        <w:spacing w:after="0" w:line="240" w:lineRule="auto"/>
        <w:rPr>
          <w:rFonts w:cs="Calibri"/>
          <w:sz w:val="28"/>
          <w:szCs w:val="28"/>
          <w:u w:val="single"/>
        </w:rPr>
      </w:pPr>
    </w:p>
    <w:p w:rsidR="008A5241" w:rsidRPr="007811E0" w:rsidRDefault="008A5241" w:rsidP="008A5241">
      <w:pPr>
        <w:spacing w:after="0" w:line="240" w:lineRule="auto"/>
        <w:rPr>
          <w:rFonts w:cs="Calibri"/>
          <w:sz w:val="28"/>
          <w:szCs w:val="28"/>
        </w:rPr>
      </w:pPr>
      <w:r w:rsidRPr="007811E0">
        <w:rPr>
          <w:rFonts w:cs="Calibri"/>
          <w:sz w:val="28"/>
          <w:szCs w:val="28"/>
          <w:u w:val="single"/>
        </w:rPr>
        <w:t>Office of Energy and Water</w:t>
      </w:r>
      <w:r w:rsidRPr="0058389F">
        <w:rPr>
          <w:rFonts w:cs="Calibri"/>
          <w:sz w:val="28"/>
          <w:szCs w:val="28"/>
        </w:rPr>
        <w:t xml:space="preserve"> </w:t>
      </w:r>
      <w:r w:rsidRPr="007811E0">
        <w:rPr>
          <w:rFonts w:cs="Calibri"/>
          <w:sz w:val="28"/>
          <w:szCs w:val="28"/>
        </w:rPr>
        <w:t xml:space="preserve">- SB 1810 by Sen. </w:t>
      </w:r>
      <w:proofErr w:type="spellStart"/>
      <w:r w:rsidRPr="007811E0">
        <w:rPr>
          <w:rFonts w:cs="Calibri"/>
          <w:sz w:val="28"/>
          <w:szCs w:val="28"/>
        </w:rPr>
        <w:t>Benacquisto</w:t>
      </w:r>
      <w:proofErr w:type="spellEnd"/>
      <w:r w:rsidRPr="007811E0">
        <w:rPr>
          <w:rFonts w:cs="Calibri"/>
          <w:sz w:val="28"/>
          <w:szCs w:val="28"/>
        </w:rPr>
        <w:t xml:space="preserve"> would expand the current Office of Water Coordination within the Dept. of Agriculture to include energy and would rename it the Office of Energy and Water.  The Office would be responsible for water and energy related policies affecting agriculture within the Department’s jurisdiction.  Further, the bill would repeal the Farm-to-Fuel statute.  In addition, the bill defines renewable diesel fuel and renewable fuel oil as being derived from biomass and exempts these fuels from sales tax</w:t>
      </w:r>
      <w:r>
        <w:rPr>
          <w:rFonts w:cs="Calibri"/>
          <w:sz w:val="28"/>
          <w:szCs w:val="28"/>
        </w:rPr>
        <w:t>.</w:t>
      </w:r>
      <w:r w:rsidRPr="007811E0">
        <w:rPr>
          <w:rFonts w:cs="Calibri"/>
          <w:sz w:val="28"/>
          <w:szCs w:val="28"/>
        </w:rPr>
        <w:t xml:space="preserve"> </w:t>
      </w:r>
    </w:p>
    <w:p w:rsidR="008A5241" w:rsidRPr="007811E0" w:rsidRDefault="008A5241" w:rsidP="008A5241">
      <w:pPr>
        <w:spacing w:after="0" w:line="240" w:lineRule="auto"/>
        <w:rPr>
          <w:rFonts w:cs="Calibri"/>
          <w:sz w:val="28"/>
          <w:szCs w:val="28"/>
        </w:rPr>
      </w:pPr>
    </w:p>
    <w:p w:rsidR="00BA3186" w:rsidRDefault="008A5241" w:rsidP="008A5241">
      <w:pPr>
        <w:spacing w:after="0" w:line="240" w:lineRule="auto"/>
        <w:jc w:val="both"/>
        <w:rPr>
          <w:rFonts w:cs="Calibri"/>
          <w:sz w:val="28"/>
          <w:szCs w:val="28"/>
        </w:rPr>
      </w:pPr>
      <w:r w:rsidRPr="007811E0">
        <w:rPr>
          <w:rFonts w:cs="Calibri"/>
          <w:sz w:val="28"/>
          <w:szCs w:val="28"/>
          <w:u w:val="single"/>
        </w:rPr>
        <w:t>Renewable Energy</w:t>
      </w:r>
      <w:r w:rsidRPr="007811E0">
        <w:rPr>
          <w:rFonts w:cs="Calibri"/>
          <w:sz w:val="28"/>
          <w:szCs w:val="28"/>
        </w:rPr>
        <w:t xml:space="preserve">- SB 1724 by Sen. Altman and HB 1349 by Rep. Burgin would </w:t>
      </w:r>
      <w:r>
        <w:rPr>
          <w:rFonts w:cs="Calibri"/>
          <w:sz w:val="28"/>
          <w:szCs w:val="28"/>
        </w:rPr>
        <w:t xml:space="preserve">provide </w:t>
      </w:r>
      <w:r w:rsidRPr="007811E0">
        <w:rPr>
          <w:rFonts w:cs="Calibri"/>
          <w:sz w:val="28"/>
          <w:szCs w:val="28"/>
        </w:rPr>
        <w:t xml:space="preserve">sales tax exemptions and tax credits </w:t>
      </w:r>
      <w:r>
        <w:rPr>
          <w:rFonts w:cs="Calibri"/>
          <w:sz w:val="28"/>
          <w:szCs w:val="28"/>
        </w:rPr>
        <w:t xml:space="preserve">for </w:t>
      </w:r>
      <w:r w:rsidRPr="007811E0">
        <w:rPr>
          <w:rFonts w:cs="Calibri"/>
          <w:sz w:val="28"/>
          <w:szCs w:val="28"/>
        </w:rPr>
        <w:t xml:space="preserve">solar energy systems </w:t>
      </w:r>
      <w:r>
        <w:rPr>
          <w:rFonts w:cs="Calibri"/>
          <w:sz w:val="28"/>
          <w:szCs w:val="28"/>
        </w:rPr>
        <w:t xml:space="preserve">that </w:t>
      </w:r>
      <w:r w:rsidRPr="007811E0">
        <w:rPr>
          <w:rFonts w:cs="Calibri"/>
          <w:sz w:val="28"/>
          <w:szCs w:val="28"/>
        </w:rPr>
        <w:t xml:space="preserve">have a certain percentage of components manufactured in Florida or the U.S.  The bill would exclude developers of renewable generation (under 5MWs) </w:t>
      </w:r>
      <w:r>
        <w:rPr>
          <w:rFonts w:cs="Calibri"/>
          <w:sz w:val="28"/>
          <w:szCs w:val="28"/>
        </w:rPr>
        <w:t xml:space="preserve">from </w:t>
      </w:r>
      <w:r w:rsidRPr="007811E0">
        <w:rPr>
          <w:rFonts w:cs="Calibri"/>
          <w:sz w:val="28"/>
          <w:szCs w:val="28"/>
        </w:rPr>
        <w:t xml:space="preserve">the definition of “public utility.”  The PSC must allow full cost recovery </w:t>
      </w:r>
      <w:r>
        <w:rPr>
          <w:rFonts w:cs="Calibri"/>
          <w:sz w:val="28"/>
          <w:szCs w:val="28"/>
        </w:rPr>
        <w:t xml:space="preserve">for </w:t>
      </w:r>
      <w:r w:rsidRPr="007811E0">
        <w:rPr>
          <w:rFonts w:cs="Calibri"/>
          <w:sz w:val="28"/>
          <w:szCs w:val="28"/>
        </w:rPr>
        <w:t xml:space="preserve">renewable energy produced or purchased by an IOU.  The bill sets forth provisions which must be included in a standard offer contract for the purchase of renewable energy by an IOU, including a bidding requirement.  The IOUs would be required to </w:t>
      </w:r>
      <w:r>
        <w:rPr>
          <w:rFonts w:cs="Calibri"/>
          <w:sz w:val="28"/>
          <w:szCs w:val="28"/>
        </w:rPr>
        <w:t>spend</w:t>
      </w:r>
      <w:r w:rsidRPr="007811E0">
        <w:rPr>
          <w:rFonts w:cs="Calibri"/>
          <w:sz w:val="28"/>
          <w:szCs w:val="28"/>
        </w:rPr>
        <w:t xml:space="preserve"> 2% of retail revenues for renewable energy (including a 25% carve out for solar), which is the essence of the RPS rule proposed by the PSC</w:t>
      </w:r>
      <w:r>
        <w:rPr>
          <w:rFonts w:cs="Calibri"/>
          <w:sz w:val="28"/>
          <w:szCs w:val="28"/>
        </w:rPr>
        <w:t xml:space="preserve"> a few years ago</w:t>
      </w:r>
      <w:r w:rsidRPr="007811E0">
        <w:rPr>
          <w:rFonts w:cs="Calibri"/>
          <w:sz w:val="28"/>
          <w:szCs w:val="28"/>
        </w:rPr>
        <w:t>.  In addition, certain renewable energy generators and expansions of renewable facilities would be exempt from the Power Plant Siting Act.  The bill would also allow a renewable energy developer (</w:t>
      </w:r>
      <w:proofErr w:type="gramStart"/>
      <w:r w:rsidRPr="007811E0">
        <w:rPr>
          <w:rFonts w:cs="Calibri"/>
          <w:sz w:val="28"/>
          <w:szCs w:val="28"/>
        </w:rPr>
        <w:t>under</w:t>
      </w:r>
      <w:proofErr w:type="gramEnd"/>
      <w:r w:rsidRPr="007811E0">
        <w:rPr>
          <w:rFonts w:cs="Calibri"/>
          <w:sz w:val="28"/>
          <w:szCs w:val="28"/>
        </w:rPr>
        <w:t xml:space="preserve"> 5 MWs) to provide electricity and conjunctive billing to consumers located on the same or contiguous property as the renewable generator.  The Energy Economic Zone Pilot Program would be expanded to implement a model to assist communities in attracting renewable and energy efficient technologies. </w:t>
      </w:r>
    </w:p>
    <w:p w:rsidR="008A5241" w:rsidRPr="007811E0" w:rsidRDefault="008A5241" w:rsidP="008A5241">
      <w:pPr>
        <w:spacing w:after="0" w:line="240" w:lineRule="auto"/>
        <w:jc w:val="both"/>
        <w:rPr>
          <w:rFonts w:cs="Calibri"/>
          <w:sz w:val="28"/>
          <w:szCs w:val="28"/>
        </w:rPr>
      </w:pPr>
      <w:r w:rsidRPr="007811E0">
        <w:rPr>
          <w:rFonts w:cs="Calibri"/>
          <w:sz w:val="28"/>
          <w:szCs w:val="28"/>
          <w:u w:val="single"/>
        </w:rPr>
        <w:lastRenderedPageBreak/>
        <w:t>Special Assessments for Renewable Energy</w:t>
      </w:r>
      <w:r w:rsidRPr="0058389F">
        <w:rPr>
          <w:rFonts w:cs="Calibri"/>
          <w:sz w:val="28"/>
          <w:szCs w:val="28"/>
        </w:rPr>
        <w:t xml:space="preserve"> </w:t>
      </w:r>
      <w:r w:rsidRPr="007811E0">
        <w:rPr>
          <w:rFonts w:cs="Calibri"/>
          <w:sz w:val="28"/>
          <w:szCs w:val="28"/>
        </w:rPr>
        <w:t xml:space="preserve">- SB 1640 by Sen. Bennett would allow municipalities to collect special assessments to pay an IOU </w:t>
      </w:r>
      <w:r>
        <w:rPr>
          <w:rFonts w:cs="Calibri"/>
          <w:sz w:val="28"/>
          <w:szCs w:val="28"/>
        </w:rPr>
        <w:t xml:space="preserve">for any costs </w:t>
      </w:r>
      <w:r w:rsidRPr="007811E0">
        <w:rPr>
          <w:rFonts w:cs="Calibri"/>
          <w:sz w:val="28"/>
          <w:szCs w:val="28"/>
        </w:rPr>
        <w:t xml:space="preserve">above avoided costs for renewable energy </w:t>
      </w:r>
      <w:r>
        <w:rPr>
          <w:rFonts w:cs="Calibri"/>
          <w:sz w:val="28"/>
          <w:szCs w:val="28"/>
        </w:rPr>
        <w:t xml:space="preserve">purchased </w:t>
      </w:r>
      <w:r w:rsidRPr="007811E0">
        <w:rPr>
          <w:rFonts w:cs="Calibri"/>
          <w:sz w:val="28"/>
          <w:szCs w:val="28"/>
        </w:rPr>
        <w:t>by the utility.</w:t>
      </w:r>
    </w:p>
    <w:p w:rsidR="008A5241" w:rsidRPr="007811E0" w:rsidRDefault="008A5241" w:rsidP="008A5241">
      <w:pPr>
        <w:spacing w:after="0" w:line="240" w:lineRule="auto"/>
        <w:jc w:val="both"/>
        <w:rPr>
          <w:rFonts w:cs="Calibri"/>
          <w:sz w:val="28"/>
          <w:szCs w:val="28"/>
        </w:rPr>
      </w:pPr>
    </w:p>
    <w:p w:rsidR="008A5241" w:rsidRPr="007811E0" w:rsidRDefault="008A5241" w:rsidP="008A5241">
      <w:pPr>
        <w:spacing w:after="0" w:line="240" w:lineRule="auto"/>
        <w:jc w:val="both"/>
        <w:rPr>
          <w:rFonts w:cs="Calibri"/>
          <w:sz w:val="28"/>
          <w:szCs w:val="28"/>
        </w:rPr>
      </w:pPr>
      <w:r w:rsidRPr="007811E0">
        <w:rPr>
          <w:rFonts w:cs="Calibri"/>
          <w:sz w:val="28"/>
          <w:szCs w:val="28"/>
          <w:u w:val="single"/>
        </w:rPr>
        <w:t>Renewable Facilities Financed by Local Governments</w:t>
      </w:r>
      <w:r w:rsidRPr="0058389F">
        <w:rPr>
          <w:rFonts w:cs="Calibri"/>
          <w:sz w:val="28"/>
          <w:szCs w:val="28"/>
        </w:rPr>
        <w:t xml:space="preserve"> </w:t>
      </w:r>
      <w:r w:rsidRPr="007811E0">
        <w:rPr>
          <w:rFonts w:cs="Calibri"/>
          <w:sz w:val="28"/>
          <w:szCs w:val="28"/>
        </w:rPr>
        <w:t xml:space="preserve">- SB 1642 by Sen. Bennett and HB 1267 </w:t>
      </w:r>
      <w:r>
        <w:rPr>
          <w:rFonts w:cs="Calibri"/>
          <w:sz w:val="28"/>
          <w:szCs w:val="28"/>
        </w:rPr>
        <w:t xml:space="preserve">by Rep. Berman </w:t>
      </w:r>
      <w:r w:rsidRPr="007811E0">
        <w:rPr>
          <w:rFonts w:cs="Calibri"/>
          <w:sz w:val="28"/>
          <w:szCs w:val="28"/>
        </w:rPr>
        <w:t xml:space="preserve">would allow local governments to finance certain capital projects, including renewable generating facilities, by expanding their bonding authority.  The bill would further allow any size renewable generator to provide service to one or more retail customers.  The PSC would be required to promulgate rules to administer this program and set rates to ensure that the general body of ratepayers of the electric utility serving the area is not subsidizing customers of the renewable facilities.  </w:t>
      </w:r>
    </w:p>
    <w:p w:rsidR="008A5241" w:rsidRPr="007811E0" w:rsidRDefault="008A5241" w:rsidP="008A5241">
      <w:pPr>
        <w:spacing w:after="0" w:line="240" w:lineRule="auto"/>
        <w:jc w:val="both"/>
        <w:rPr>
          <w:rFonts w:cs="Calibri"/>
          <w:sz w:val="28"/>
          <w:szCs w:val="28"/>
        </w:rPr>
      </w:pPr>
    </w:p>
    <w:p w:rsidR="008A5241" w:rsidRPr="007811E0" w:rsidRDefault="008A5241" w:rsidP="008A5241">
      <w:pPr>
        <w:spacing w:after="0" w:line="240" w:lineRule="auto"/>
        <w:jc w:val="both"/>
        <w:rPr>
          <w:rFonts w:cs="Calibri"/>
          <w:sz w:val="28"/>
          <w:szCs w:val="28"/>
        </w:rPr>
      </w:pPr>
      <w:r w:rsidRPr="007811E0">
        <w:rPr>
          <w:rFonts w:cs="Calibri"/>
          <w:sz w:val="28"/>
          <w:szCs w:val="28"/>
          <w:u w:val="single"/>
        </w:rPr>
        <w:t>Termination of Service</w:t>
      </w:r>
      <w:r w:rsidRPr="0058389F">
        <w:rPr>
          <w:rFonts w:cs="Calibri"/>
          <w:sz w:val="28"/>
          <w:szCs w:val="28"/>
        </w:rPr>
        <w:t xml:space="preserve"> </w:t>
      </w:r>
      <w:r w:rsidRPr="007811E0">
        <w:rPr>
          <w:rFonts w:cs="Calibri"/>
          <w:sz w:val="28"/>
          <w:szCs w:val="28"/>
        </w:rPr>
        <w:t xml:space="preserve">- SB 1572 by Sen. </w:t>
      </w:r>
      <w:proofErr w:type="spellStart"/>
      <w:r w:rsidRPr="007811E0">
        <w:rPr>
          <w:rFonts w:cs="Calibri"/>
          <w:sz w:val="28"/>
          <w:szCs w:val="28"/>
        </w:rPr>
        <w:t>Siplin</w:t>
      </w:r>
      <w:proofErr w:type="spellEnd"/>
      <w:r w:rsidRPr="007811E0">
        <w:rPr>
          <w:rFonts w:cs="Calibri"/>
          <w:sz w:val="28"/>
          <w:szCs w:val="28"/>
        </w:rPr>
        <w:t xml:space="preserve"> would prevent an electric or gas utility from disconnecting service, because of nonpayment, to seniors or low-income families during extreme weather days (32°F or below or 95°F and above).  The bill would not allow disconnect</w:t>
      </w:r>
      <w:r>
        <w:rPr>
          <w:rFonts w:cs="Calibri"/>
          <w:sz w:val="28"/>
          <w:szCs w:val="28"/>
        </w:rPr>
        <w:t>ions</w:t>
      </w:r>
      <w:r w:rsidRPr="007811E0">
        <w:rPr>
          <w:rFonts w:cs="Calibri"/>
          <w:sz w:val="28"/>
          <w:szCs w:val="28"/>
        </w:rPr>
        <w:t xml:space="preserve"> on </w:t>
      </w:r>
      <w:r>
        <w:rPr>
          <w:rFonts w:cs="Calibri"/>
          <w:sz w:val="28"/>
          <w:szCs w:val="28"/>
        </w:rPr>
        <w:t xml:space="preserve">the </w:t>
      </w:r>
      <w:r w:rsidRPr="007811E0">
        <w:rPr>
          <w:rFonts w:cs="Calibri"/>
          <w:sz w:val="28"/>
          <w:szCs w:val="28"/>
        </w:rPr>
        <w:t xml:space="preserve">day or the following two days (also any day before a holiday or weekend) when the temperature standards are met. </w:t>
      </w:r>
    </w:p>
    <w:p w:rsidR="008A5241" w:rsidRPr="007811E0" w:rsidRDefault="008A5241" w:rsidP="008A5241">
      <w:pPr>
        <w:spacing w:after="0" w:line="240" w:lineRule="auto"/>
        <w:jc w:val="both"/>
        <w:rPr>
          <w:rFonts w:cs="Calibri"/>
          <w:sz w:val="28"/>
          <w:szCs w:val="28"/>
        </w:rPr>
      </w:pPr>
    </w:p>
    <w:p w:rsidR="008A5241" w:rsidRDefault="008A5241" w:rsidP="008A5241">
      <w:pPr>
        <w:spacing w:after="0" w:line="240" w:lineRule="auto"/>
        <w:jc w:val="both"/>
        <w:rPr>
          <w:rFonts w:cs="Calibri"/>
          <w:sz w:val="28"/>
          <w:szCs w:val="28"/>
        </w:rPr>
      </w:pPr>
      <w:r w:rsidRPr="007811E0">
        <w:rPr>
          <w:rFonts w:cs="Calibri"/>
          <w:sz w:val="28"/>
          <w:szCs w:val="28"/>
          <w:u w:val="single"/>
        </w:rPr>
        <w:t xml:space="preserve">Local Government </w:t>
      </w:r>
      <w:r>
        <w:rPr>
          <w:rFonts w:cs="Calibri"/>
          <w:sz w:val="28"/>
          <w:szCs w:val="28"/>
          <w:u w:val="single"/>
        </w:rPr>
        <w:t xml:space="preserve">Renewable </w:t>
      </w:r>
      <w:r w:rsidRPr="007811E0">
        <w:rPr>
          <w:rFonts w:cs="Calibri"/>
          <w:sz w:val="28"/>
          <w:szCs w:val="28"/>
          <w:u w:val="single"/>
        </w:rPr>
        <w:t>Energy Zones</w:t>
      </w:r>
      <w:r w:rsidRPr="0058389F">
        <w:rPr>
          <w:rFonts w:cs="Calibri"/>
          <w:sz w:val="28"/>
          <w:szCs w:val="28"/>
        </w:rPr>
        <w:t xml:space="preserve"> </w:t>
      </w:r>
      <w:r w:rsidRPr="007811E0">
        <w:rPr>
          <w:rFonts w:cs="Calibri"/>
          <w:sz w:val="28"/>
          <w:szCs w:val="28"/>
        </w:rPr>
        <w:t xml:space="preserve">- SB 1452 by Sen. Bennett and HB 1119 by Rep. </w:t>
      </w:r>
      <w:proofErr w:type="spellStart"/>
      <w:r w:rsidRPr="007811E0">
        <w:rPr>
          <w:rFonts w:cs="Calibri"/>
          <w:sz w:val="28"/>
          <w:szCs w:val="28"/>
        </w:rPr>
        <w:t>Trudi</w:t>
      </w:r>
      <w:proofErr w:type="spellEnd"/>
      <w:r w:rsidRPr="007811E0">
        <w:rPr>
          <w:rFonts w:cs="Calibri"/>
          <w:sz w:val="28"/>
          <w:szCs w:val="28"/>
        </w:rPr>
        <w:t xml:space="preserve"> Williams would allow local governments to create energy zones through local ordinances.  The energy zones would allow renewable energy producers to sell electricity to new retail customers </w:t>
      </w:r>
      <w:r>
        <w:rPr>
          <w:rFonts w:cs="Calibri"/>
          <w:sz w:val="28"/>
          <w:szCs w:val="28"/>
        </w:rPr>
        <w:t xml:space="preserve">(not defined but could include tear downs as well as undeveloped properties) </w:t>
      </w:r>
      <w:r w:rsidRPr="007811E0">
        <w:rPr>
          <w:rFonts w:cs="Calibri"/>
          <w:sz w:val="28"/>
          <w:szCs w:val="28"/>
        </w:rPr>
        <w:t xml:space="preserve">within this zone or sell the electricity to the territory’s electric utility at established renewable energy rates.  This would enable renewable energy producers to create </w:t>
      </w:r>
      <w:r>
        <w:rPr>
          <w:rFonts w:cs="Calibri"/>
          <w:sz w:val="28"/>
          <w:szCs w:val="28"/>
        </w:rPr>
        <w:t xml:space="preserve">electric </w:t>
      </w:r>
      <w:r w:rsidRPr="007811E0">
        <w:rPr>
          <w:rFonts w:cs="Calibri"/>
          <w:sz w:val="28"/>
          <w:szCs w:val="28"/>
        </w:rPr>
        <w:t>utilities that are only subject to local jurisdictions</w:t>
      </w:r>
      <w:r>
        <w:rPr>
          <w:rFonts w:cs="Calibri"/>
          <w:sz w:val="28"/>
          <w:szCs w:val="28"/>
        </w:rPr>
        <w:t xml:space="preserve"> and are not subject to the PSC’s jurisdiction</w:t>
      </w:r>
      <w:r w:rsidRPr="007811E0">
        <w:rPr>
          <w:rFonts w:cs="Calibri"/>
          <w:sz w:val="28"/>
          <w:szCs w:val="28"/>
        </w:rPr>
        <w:t xml:space="preserve">.  The bill would require the renewable producer to pay the electric utility serving the area a fee of 1.5¢ per </w:t>
      </w:r>
      <w:proofErr w:type="gramStart"/>
      <w:r w:rsidRPr="007811E0">
        <w:rPr>
          <w:rFonts w:cs="Calibri"/>
          <w:sz w:val="28"/>
          <w:szCs w:val="28"/>
        </w:rPr>
        <w:t>kwh</w:t>
      </w:r>
      <w:proofErr w:type="gramEnd"/>
      <w:r w:rsidRPr="007811E0">
        <w:rPr>
          <w:rFonts w:cs="Calibri"/>
          <w:sz w:val="28"/>
          <w:szCs w:val="28"/>
        </w:rPr>
        <w:t xml:space="preserve"> of renewable energy produced and sold unless the utility offers a “</w:t>
      </w:r>
      <w:proofErr w:type="spellStart"/>
      <w:r w:rsidRPr="007811E0">
        <w:rPr>
          <w:rFonts w:cs="Calibri"/>
          <w:sz w:val="28"/>
          <w:szCs w:val="28"/>
        </w:rPr>
        <w:t>disconnectable</w:t>
      </w:r>
      <w:proofErr w:type="spellEnd"/>
      <w:r w:rsidRPr="007811E0">
        <w:rPr>
          <w:rFonts w:cs="Calibri"/>
          <w:sz w:val="28"/>
          <w:szCs w:val="28"/>
        </w:rPr>
        <w:t xml:space="preserve"> rate” to the producer and its customers within the zone.  A “</w:t>
      </w:r>
      <w:proofErr w:type="spellStart"/>
      <w:r w:rsidRPr="007811E0">
        <w:rPr>
          <w:rFonts w:cs="Calibri"/>
          <w:sz w:val="28"/>
          <w:szCs w:val="28"/>
        </w:rPr>
        <w:t>disconnectable</w:t>
      </w:r>
      <w:proofErr w:type="spellEnd"/>
      <w:r w:rsidRPr="007811E0">
        <w:rPr>
          <w:rFonts w:cs="Calibri"/>
          <w:sz w:val="28"/>
          <w:szCs w:val="28"/>
        </w:rPr>
        <w:t xml:space="preserve"> rate” apparently is synonymous with a utility’s interruptible rate. The PSC would be required to promulgate rules to ensure that the general body of ratepayers of the electric utility serving the area is not subsidizing customers of the renewable facilities.  </w:t>
      </w:r>
      <w:r>
        <w:rPr>
          <w:rFonts w:cs="Calibri"/>
          <w:sz w:val="28"/>
          <w:szCs w:val="28"/>
        </w:rPr>
        <w:t xml:space="preserve">Electric utilities </w:t>
      </w:r>
      <w:r w:rsidRPr="007811E0">
        <w:rPr>
          <w:rFonts w:cs="Calibri"/>
          <w:sz w:val="28"/>
          <w:szCs w:val="28"/>
        </w:rPr>
        <w:t xml:space="preserve">would </w:t>
      </w:r>
      <w:r>
        <w:rPr>
          <w:rFonts w:cs="Calibri"/>
          <w:sz w:val="28"/>
          <w:szCs w:val="28"/>
        </w:rPr>
        <w:t xml:space="preserve">be </w:t>
      </w:r>
      <w:r w:rsidRPr="007811E0">
        <w:rPr>
          <w:rFonts w:cs="Calibri"/>
          <w:sz w:val="28"/>
          <w:szCs w:val="28"/>
        </w:rPr>
        <w:t>require</w:t>
      </w:r>
      <w:r>
        <w:rPr>
          <w:rFonts w:cs="Calibri"/>
          <w:sz w:val="28"/>
          <w:szCs w:val="28"/>
        </w:rPr>
        <w:t>d</w:t>
      </w:r>
      <w:r w:rsidRPr="007811E0">
        <w:rPr>
          <w:rFonts w:cs="Calibri"/>
          <w:sz w:val="28"/>
          <w:szCs w:val="28"/>
        </w:rPr>
        <w:t xml:space="preserve"> </w:t>
      </w:r>
      <w:r>
        <w:rPr>
          <w:rFonts w:cs="Calibri"/>
          <w:sz w:val="28"/>
          <w:szCs w:val="28"/>
        </w:rPr>
        <w:t>to submit reports on</w:t>
      </w:r>
      <w:r w:rsidRPr="007811E0">
        <w:rPr>
          <w:rFonts w:cs="Calibri"/>
          <w:sz w:val="28"/>
          <w:szCs w:val="28"/>
        </w:rPr>
        <w:t xml:space="preserve"> the implementation of this program.  </w:t>
      </w:r>
      <w:r>
        <w:rPr>
          <w:rFonts w:cs="Calibri"/>
          <w:sz w:val="28"/>
          <w:szCs w:val="28"/>
        </w:rPr>
        <w:t>T</w:t>
      </w:r>
      <w:r w:rsidRPr="007811E0">
        <w:rPr>
          <w:rFonts w:cs="Calibri"/>
          <w:sz w:val="28"/>
          <w:szCs w:val="28"/>
        </w:rPr>
        <w:t xml:space="preserve">he bill would </w:t>
      </w:r>
      <w:r w:rsidRPr="007811E0">
        <w:rPr>
          <w:rFonts w:cs="Calibri"/>
          <w:sz w:val="28"/>
          <w:szCs w:val="28"/>
        </w:rPr>
        <w:lastRenderedPageBreak/>
        <w:t>exempt renewable producers from the definition of a utility</w:t>
      </w:r>
      <w:r>
        <w:rPr>
          <w:rFonts w:cs="Calibri"/>
          <w:sz w:val="28"/>
          <w:szCs w:val="28"/>
        </w:rPr>
        <w:t xml:space="preserve"> in Chapter 366, which also exempts them from the gross receipts and public service taxes</w:t>
      </w:r>
      <w:r w:rsidRPr="007811E0">
        <w:rPr>
          <w:rFonts w:cs="Calibri"/>
          <w:sz w:val="28"/>
          <w:szCs w:val="28"/>
        </w:rPr>
        <w:t>.</w:t>
      </w:r>
    </w:p>
    <w:p w:rsidR="008A5241" w:rsidRPr="007811E0" w:rsidRDefault="008A5241" w:rsidP="008A5241">
      <w:pPr>
        <w:spacing w:after="0" w:line="240" w:lineRule="auto"/>
        <w:jc w:val="both"/>
        <w:rPr>
          <w:rFonts w:cs="Calibri"/>
          <w:sz w:val="28"/>
          <w:szCs w:val="28"/>
        </w:rPr>
      </w:pPr>
    </w:p>
    <w:p w:rsidR="0093009A" w:rsidRDefault="0093009A" w:rsidP="0093009A">
      <w:pPr>
        <w:jc w:val="both"/>
        <w:rPr>
          <w:sz w:val="28"/>
          <w:szCs w:val="28"/>
        </w:rPr>
      </w:pPr>
      <w:r w:rsidRPr="00D72D33">
        <w:rPr>
          <w:rFonts w:cs="Calibri"/>
          <w:sz w:val="28"/>
          <w:szCs w:val="28"/>
          <w:u w:val="single"/>
        </w:rPr>
        <w:t>Contamination Notification</w:t>
      </w:r>
      <w:r w:rsidRPr="00D72D33">
        <w:rPr>
          <w:rFonts w:cs="Calibri"/>
          <w:sz w:val="28"/>
          <w:szCs w:val="28"/>
        </w:rPr>
        <w:t xml:space="preserve"> – SB 132 by Sen. Joyner </w:t>
      </w:r>
      <w:r w:rsidR="009A02FC">
        <w:rPr>
          <w:rFonts w:cs="Calibri"/>
          <w:sz w:val="28"/>
          <w:szCs w:val="28"/>
        </w:rPr>
        <w:t xml:space="preserve">and HB 147 by Rep. Ahern </w:t>
      </w:r>
      <w:r w:rsidRPr="00D72D33">
        <w:rPr>
          <w:rFonts w:cs="Calibri"/>
          <w:sz w:val="28"/>
          <w:szCs w:val="28"/>
        </w:rPr>
        <w:t>would revise contamination notification provisions to require notice of site rehabilitation to specified persons/entities in the affected area.  Within 30 days of notice, local governments would be required to mail a copy of the notice to each homeowner’s association.  In addition, DEP would provide a copy of the notice to property owners at the rehabilitation site and to schools and childcare facilities.  Further, th</w:t>
      </w:r>
      <w:r>
        <w:rPr>
          <w:sz w:val="28"/>
          <w:szCs w:val="28"/>
        </w:rPr>
        <w:t>e bill</w:t>
      </w:r>
      <w:r w:rsidR="004C174D">
        <w:rPr>
          <w:sz w:val="28"/>
          <w:szCs w:val="28"/>
        </w:rPr>
        <w:t>s</w:t>
      </w:r>
      <w:r>
        <w:rPr>
          <w:sz w:val="28"/>
          <w:szCs w:val="28"/>
        </w:rPr>
        <w:t xml:space="preserve"> would allow the notifying agencies to recover costs from the responsible party under certain circumstances.</w:t>
      </w:r>
      <w:r w:rsidR="003A7CAA">
        <w:rPr>
          <w:sz w:val="28"/>
          <w:szCs w:val="28"/>
        </w:rPr>
        <w:t xml:space="preserve">  SB 132 passed the first committee of reference and </w:t>
      </w:r>
      <w:r w:rsidR="004C174D">
        <w:rPr>
          <w:sz w:val="28"/>
          <w:szCs w:val="28"/>
        </w:rPr>
        <w:t>h</w:t>
      </w:r>
      <w:r w:rsidR="003A7CAA">
        <w:rPr>
          <w:sz w:val="28"/>
          <w:szCs w:val="28"/>
        </w:rPr>
        <w:t xml:space="preserve">as three stops left in the Senate.  </w:t>
      </w:r>
      <w:r w:rsidR="004C174D">
        <w:rPr>
          <w:sz w:val="28"/>
          <w:szCs w:val="28"/>
        </w:rPr>
        <w:t>HB 147</w:t>
      </w:r>
      <w:r w:rsidR="003A7CAA">
        <w:rPr>
          <w:sz w:val="28"/>
          <w:szCs w:val="28"/>
        </w:rPr>
        <w:t xml:space="preserve"> has </w:t>
      </w:r>
      <w:r w:rsidR="00A22B34">
        <w:rPr>
          <w:sz w:val="28"/>
          <w:szCs w:val="28"/>
        </w:rPr>
        <w:t xml:space="preserve">not </w:t>
      </w:r>
      <w:r w:rsidR="003A7CAA">
        <w:rPr>
          <w:sz w:val="28"/>
          <w:szCs w:val="28"/>
        </w:rPr>
        <w:t>be</w:t>
      </w:r>
      <w:r w:rsidR="00A22B34">
        <w:rPr>
          <w:sz w:val="28"/>
          <w:szCs w:val="28"/>
        </w:rPr>
        <w:t>en</w:t>
      </w:r>
      <w:r w:rsidR="003A7CAA">
        <w:rPr>
          <w:sz w:val="28"/>
          <w:szCs w:val="28"/>
        </w:rPr>
        <w:t xml:space="preserve"> heard</w:t>
      </w:r>
      <w:r w:rsidR="00A22B34">
        <w:rPr>
          <w:sz w:val="28"/>
          <w:szCs w:val="28"/>
        </w:rPr>
        <w:t xml:space="preserve"> yet</w:t>
      </w:r>
      <w:r w:rsidR="003A7CAA">
        <w:rPr>
          <w:sz w:val="28"/>
          <w:szCs w:val="28"/>
        </w:rPr>
        <w:t>.</w:t>
      </w:r>
    </w:p>
    <w:p w:rsidR="00717D46" w:rsidRDefault="006A35AB" w:rsidP="009F61A4">
      <w:pPr>
        <w:rPr>
          <w:sz w:val="28"/>
          <w:szCs w:val="28"/>
        </w:rPr>
      </w:pPr>
      <w:r w:rsidRPr="006A35AB">
        <w:rPr>
          <w:sz w:val="28"/>
          <w:szCs w:val="28"/>
          <w:u w:val="single"/>
        </w:rPr>
        <w:t>Ad Valorem Exemptions</w:t>
      </w:r>
      <w:r>
        <w:rPr>
          <w:sz w:val="28"/>
          <w:szCs w:val="28"/>
        </w:rPr>
        <w:t xml:space="preserve">- </w:t>
      </w:r>
      <w:r w:rsidR="007117E8">
        <w:rPr>
          <w:sz w:val="28"/>
          <w:szCs w:val="28"/>
        </w:rPr>
        <w:t>HB 531</w:t>
      </w:r>
      <w:r w:rsidR="007117E8" w:rsidRPr="000B3E02">
        <w:rPr>
          <w:sz w:val="28"/>
          <w:szCs w:val="28"/>
        </w:rPr>
        <w:t xml:space="preserve"> by Rep. Frishe</w:t>
      </w:r>
      <w:r w:rsidR="007117E8">
        <w:rPr>
          <w:sz w:val="28"/>
          <w:szCs w:val="28"/>
        </w:rPr>
        <w:t xml:space="preserve"> and</w:t>
      </w:r>
      <w:r w:rsidR="007117E8" w:rsidRPr="000B3E02">
        <w:rPr>
          <w:sz w:val="28"/>
          <w:szCs w:val="28"/>
        </w:rPr>
        <w:t xml:space="preserve"> </w:t>
      </w:r>
      <w:r w:rsidR="007117E8">
        <w:rPr>
          <w:sz w:val="28"/>
          <w:szCs w:val="28"/>
        </w:rPr>
        <w:t>SB 434 by Sen. Latvala would</w:t>
      </w:r>
      <w:r w:rsidR="007117E8" w:rsidRPr="000B3E02">
        <w:rPr>
          <w:sz w:val="28"/>
          <w:szCs w:val="28"/>
        </w:rPr>
        <w:t xml:space="preserve"> implement a Constitutional amendment that passed in 2008, which prohibits the taxation of improvements to residential property if the improvements are a renewable energy device or they strengthen the property’s resistance to wind damage.  The exemptions would apply to new and existing residential construction.  In addition, </w:t>
      </w:r>
      <w:r w:rsidR="007117E8">
        <w:rPr>
          <w:sz w:val="28"/>
          <w:szCs w:val="28"/>
        </w:rPr>
        <w:t>SB 412</w:t>
      </w:r>
      <w:r w:rsidR="007117E8" w:rsidRPr="000B3E02">
        <w:rPr>
          <w:sz w:val="28"/>
          <w:szCs w:val="28"/>
        </w:rPr>
        <w:t xml:space="preserve"> by Sen. Bennett </w:t>
      </w:r>
      <w:r w:rsidR="007117E8">
        <w:rPr>
          <w:sz w:val="28"/>
          <w:szCs w:val="28"/>
        </w:rPr>
        <w:t xml:space="preserve">would </w:t>
      </w:r>
      <w:r w:rsidR="00357F4F">
        <w:rPr>
          <w:sz w:val="28"/>
          <w:szCs w:val="28"/>
        </w:rPr>
        <w:t xml:space="preserve">have </w:t>
      </w:r>
      <w:r w:rsidR="007117E8">
        <w:rPr>
          <w:sz w:val="28"/>
          <w:szCs w:val="28"/>
        </w:rPr>
        <w:t>expand</w:t>
      </w:r>
      <w:r w:rsidR="00357F4F">
        <w:rPr>
          <w:sz w:val="28"/>
          <w:szCs w:val="28"/>
        </w:rPr>
        <w:t>ed</w:t>
      </w:r>
      <w:r w:rsidR="007117E8" w:rsidRPr="000B3E02">
        <w:rPr>
          <w:sz w:val="28"/>
          <w:szCs w:val="28"/>
        </w:rPr>
        <w:t xml:space="preserve"> the Constitutional amendment to include commercial property</w:t>
      </w:r>
      <w:r w:rsidR="00357F4F">
        <w:rPr>
          <w:sz w:val="28"/>
          <w:szCs w:val="28"/>
        </w:rPr>
        <w:t>, but it has been withdrawn</w:t>
      </w:r>
      <w:r w:rsidR="007117E8" w:rsidRPr="000B3E02">
        <w:rPr>
          <w:sz w:val="28"/>
          <w:szCs w:val="28"/>
        </w:rPr>
        <w:t>.</w:t>
      </w:r>
      <w:r w:rsidR="000063F3">
        <w:rPr>
          <w:sz w:val="28"/>
          <w:szCs w:val="28"/>
        </w:rPr>
        <w:t xml:space="preserve">  SB 434 </w:t>
      </w:r>
      <w:r w:rsidR="00357F4F">
        <w:rPr>
          <w:sz w:val="28"/>
          <w:szCs w:val="28"/>
        </w:rPr>
        <w:t xml:space="preserve">is moving and only </w:t>
      </w:r>
      <w:r w:rsidR="000063F3">
        <w:rPr>
          <w:sz w:val="28"/>
          <w:szCs w:val="28"/>
        </w:rPr>
        <w:t xml:space="preserve">has one </w:t>
      </w:r>
      <w:r w:rsidR="00357F4F">
        <w:rPr>
          <w:sz w:val="28"/>
          <w:szCs w:val="28"/>
        </w:rPr>
        <w:t xml:space="preserve">committee </w:t>
      </w:r>
      <w:r w:rsidR="000063F3">
        <w:rPr>
          <w:sz w:val="28"/>
          <w:szCs w:val="28"/>
        </w:rPr>
        <w:t xml:space="preserve">stop </w:t>
      </w:r>
      <w:r w:rsidR="00C4527B">
        <w:rPr>
          <w:sz w:val="28"/>
          <w:szCs w:val="28"/>
        </w:rPr>
        <w:t>before the floor</w:t>
      </w:r>
      <w:r w:rsidR="000063F3">
        <w:rPr>
          <w:sz w:val="28"/>
          <w:szCs w:val="28"/>
        </w:rPr>
        <w:t>.</w:t>
      </w:r>
    </w:p>
    <w:p w:rsidR="006426A7" w:rsidRDefault="00717D46" w:rsidP="00717D46">
      <w:pPr>
        <w:rPr>
          <w:rFonts w:cs="Calibri"/>
          <w:sz w:val="28"/>
          <w:szCs w:val="28"/>
        </w:rPr>
      </w:pPr>
      <w:r w:rsidRPr="009F61A4">
        <w:rPr>
          <w:rFonts w:cs="Calibri"/>
          <w:sz w:val="28"/>
          <w:szCs w:val="28"/>
          <w:u w:val="single"/>
        </w:rPr>
        <w:t>PSC/Ex Parte Communications</w:t>
      </w:r>
      <w:r w:rsidRPr="009F61A4">
        <w:rPr>
          <w:rFonts w:cs="Calibri"/>
          <w:sz w:val="28"/>
          <w:szCs w:val="28"/>
        </w:rPr>
        <w:t xml:space="preserve"> - SB 212 by Sen. Fasano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four year ban on commissioners and staff from lobbying the executive and legislative branches, appearing before the PSC, or working for a regulated entity if </w:t>
      </w:r>
      <w:r>
        <w:rPr>
          <w:rFonts w:cs="Calibri"/>
          <w:sz w:val="28"/>
          <w:szCs w:val="28"/>
        </w:rPr>
        <w:t xml:space="preserve">their </w:t>
      </w:r>
      <w:r w:rsidRPr="000E3506">
        <w:rPr>
          <w:rFonts w:cs="Calibri"/>
          <w:sz w:val="28"/>
          <w:szCs w:val="28"/>
        </w:rPr>
        <w:t xml:space="preserve">employment was terminated after July 1, 2011.  The bill would direct PSC commissioners to follow the Code of Judicial Conduct except when it conflicts with Florida’s sunshine laws, and </w:t>
      </w:r>
      <w:r w:rsidRPr="000E3506">
        <w:rPr>
          <w:rFonts w:cs="Calibri"/>
          <w:sz w:val="28"/>
          <w:szCs w:val="28"/>
        </w:rPr>
        <w:lastRenderedPageBreak/>
        <w:t xml:space="preserve">authorizes the PSC to impose penalties on regulated entities that engage in ex parte communications up to .1% of their annual operating revenue. </w:t>
      </w:r>
    </w:p>
    <w:p w:rsidR="00CD5144" w:rsidRDefault="00CD5144" w:rsidP="00CD5144">
      <w:pPr>
        <w:widowControl w:val="0"/>
        <w:jc w:val="both"/>
        <w:rPr>
          <w:sz w:val="28"/>
          <w:szCs w:val="28"/>
        </w:rPr>
      </w:pPr>
      <w:r w:rsidRPr="000F5974">
        <w:rPr>
          <w:sz w:val="28"/>
          <w:szCs w:val="28"/>
          <w:u w:val="single"/>
        </w:rPr>
        <w:t>Transactions of Regulated Metals</w:t>
      </w:r>
      <w:r>
        <w:rPr>
          <w:sz w:val="28"/>
          <w:szCs w:val="28"/>
          <w:u w:val="single"/>
        </w:rPr>
        <w:t xml:space="preserve"> </w:t>
      </w:r>
      <w:r>
        <w:rPr>
          <w:sz w:val="28"/>
          <w:szCs w:val="28"/>
        </w:rPr>
        <w:t xml:space="preserve">- HB 343 by Rep. Metz and SB 622 by Sen. Hays would help law enforcement in tracking stolen copper and other metals by requiring notification to all local law enforcement agencies of regulated metal sales despite jurisdictions.  </w:t>
      </w:r>
    </w:p>
    <w:p w:rsidR="0093009A" w:rsidRDefault="009A02FC" w:rsidP="009F61A4">
      <w:pPr>
        <w:rPr>
          <w:b/>
          <w:sz w:val="28"/>
          <w:szCs w:val="28"/>
          <w:u w:val="single"/>
        </w:rPr>
      </w:pPr>
      <w:r w:rsidRPr="009A02FC">
        <w:rPr>
          <w:b/>
          <w:sz w:val="28"/>
          <w:szCs w:val="28"/>
          <w:u w:val="single"/>
        </w:rPr>
        <w:t>Bills that only apply to IOUs that we are monitoring</w:t>
      </w:r>
    </w:p>
    <w:p w:rsidR="00876F70" w:rsidRPr="007811E0" w:rsidRDefault="00876F70" w:rsidP="009F61A4">
      <w:pPr>
        <w:rPr>
          <w:sz w:val="28"/>
          <w:szCs w:val="28"/>
        </w:rPr>
      </w:pPr>
      <w:r>
        <w:rPr>
          <w:sz w:val="28"/>
          <w:szCs w:val="28"/>
          <w:u w:val="single"/>
        </w:rPr>
        <w:t>Cost Recovery for IOUs</w:t>
      </w:r>
      <w:r w:rsidRPr="00964722">
        <w:rPr>
          <w:sz w:val="28"/>
          <w:szCs w:val="28"/>
        </w:rPr>
        <w:t xml:space="preserve"> </w:t>
      </w:r>
      <w:r>
        <w:rPr>
          <w:sz w:val="28"/>
          <w:szCs w:val="28"/>
        </w:rPr>
        <w:t>- SB 1336 by Sen. Bennett would repeal statutes requiring the PSC to promulgate rules for an RPS that would have to be ratified by the legislature.  Further, the bill would allow IOUs to either purchase renewable energy or self-build renewable generation and use the environmental cost recovery clause to recoup costs in excess of full avoided costs.  The bill would provide investment caps above avoided cost of 2% in 2011 and 2012, 3% in 2013 or 4% in 2014 and thereafter based on the IOU’s retail sales for 2010.  In addition, the bill would allow an IOU to apply for an extra 50 basis points on the ROE for renewable projects if the majority of the components and manufactured parts come from Florida.</w:t>
      </w:r>
    </w:p>
    <w:p w:rsidR="009A02FC" w:rsidRPr="009A02FC" w:rsidRDefault="009A02FC" w:rsidP="009A02FC">
      <w:pPr>
        <w:rPr>
          <w:rFonts w:cs="Calibri"/>
          <w:sz w:val="28"/>
          <w:szCs w:val="28"/>
        </w:rPr>
      </w:pPr>
      <w:r w:rsidRPr="009A02FC">
        <w:rPr>
          <w:rFonts w:cs="Calibri"/>
          <w:sz w:val="28"/>
          <w:szCs w:val="28"/>
          <w:u w:val="single"/>
        </w:rPr>
        <w:t>Cost Recovery</w:t>
      </w:r>
      <w:r w:rsidRPr="009A02FC">
        <w:rPr>
          <w:rFonts w:cs="Calibri"/>
          <w:sz w:val="28"/>
          <w:szCs w:val="28"/>
        </w:rPr>
        <w:t xml:space="preserve"> - SB 200 by Sen. Fasano </w:t>
      </w:r>
      <w:r w:rsidR="000C2673">
        <w:rPr>
          <w:rFonts w:cs="Calibri"/>
          <w:sz w:val="28"/>
          <w:szCs w:val="28"/>
        </w:rPr>
        <w:t xml:space="preserve">and HB 4161 by Rep. Rehwinkle Vasilinda </w:t>
      </w:r>
      <w:r w:rsidRPr="009A02FC">
        <w:rPr>
          <w:rFonts w:cs="Calibri"/>
          <w:sz w:val="28"/>
          <w:szCs w:val="28"/>
        </w:rPr>
        <w:t xml:space="preserve">would repeal the </w:t>
      </w:r>
      <w:r w:rsidR="006B54C2">
        <w:rPr>
          <w:rFonts w:cs="Calibri"/>
          <w:sz w:val="28"/>
          <w:szCs w:val="28"/>
        </w:rPr>
        <w:t>pre-construction</w:t>
      </w:r>
      <w:r w:rsidRPr="009A02FC">
        <w:rPr>
          <w:rFonts w:cs="Calibri"/>
          <w:sz w:val="28"/>
          <w:szCs w:val="28"/>
        </w:rPr>
        <w:t xml:space="preserve"> cost recovery clause that is available to IOUs to finance construction of nuclear </w:t>
      </w:r>
      <w:r w:rsidR="000C2673">
        <w:rPr>
          <w:rFonts w:cs="Calibri"/>
          <w:sz w:val="28"/>
          <w:szCs w:val="28"/>
        </w:rPr>
        <w:t xml:space="preserve">and IGCC </w:t>
      </w:r>
      <w:r w:rsidRPr="009A02FC">
        <w:rPr>
          <w:rFonts w:cs="Calibri"/>
          <w:sz w:val="28"/>
          <w:szCs w:val="28"/>
        </w:rPr>
        <w:t>facilities.</w:t>
      </w:r>
    </w:p>
    <w:p w:rsidR="009A02FC" w:rsidRPr="009A02FC" w:rsidRDefault="009A02FC" w:rsidP="009A02FC">
      <w:pPr>
        <w:rPr>
          <w:rFonts w:cs="Calibri"/>
          <w:sz w:val="28"/>
          <w:szCs w:val="28"/>
        </w:rPr>
      </w:pPr>
      <w:r w:rsidRPr="009A02FC">
        <w:rPr>
          <w:rFonts w:cs="Calibri"/>
          <w:sz w:val="28"/>
          <w:szCs w:val="28"/>
          <w:u w:val="single"/>
        </w:rPr>
        <w:t>Full Cost Recovery for Renewables</w:t>
      </w:r>
      <w:r w:rsidRPr="009A02FC">
        <w:rPr>
          <w:rFonts w:cs="Calibri"/>
          <w:sz w:val="28"/>
          <w:szCs w:val="28"/>
        </w:rPr>
        <w:t xml:space="preserve"> - SB 156 by Sen. Detert appears to require IOUs to provide 10-year contracts for renewable projects at a cost equal to the renewable power provider’s cost plus a profit.</w:t>
      </w:r>
    </w:p>
    <w:p w:rsidR="009A02FC" w:rsidRDefault="009A02FC" w:rsidP="009F61A4">
      <w:pPr>
        <w:rPr>
          <w:rFonts w:cs="Calibri"/>
          <w:sz w:val="28"/>
          <w:szCs w:val="28"/>
        </w:rPr>
      </w:pPr>
      <w:r w:rsidRPr="009A02FC">
        <w:rPr>
          <w:rFonts w:cs="Calibri"/>
          <w:sz w:val="28"/>
          <w:szCs w:val="28"/>
          <w:u w:val="single"/>
        </w:rPr>
        <w:t>Rate Increases</w:t>
      </w:r>
      <w:r w:rsidRPr="009A02FC">
        <w:rPr>
          <w:rFonts w:cs="Calibri"/>
          <w:sz w:val="28"/>
          <w:szCs w:val="28"/>
        </w:rPr>
        <w:t xml:space="preserve"> - HB 159 by Rep. Campbell</w:t>
      </w:r>
      <w:r w:rsidR="00617DB5">
        <w:rPr>
          <w:rFonts w:cs="Calibri"/>
          <w:sz w:val="28"/>
          <w:szCs w:val="28"/>
        </w:rPr>
        <w:t xml:space="preserve"> and SB 806 by Sen. Diaz de la Portilla</w:t>
      </w:r>
      <w:r w:rsidRPr="009A02FC">
        <w:rPr>
          <w:rFonts w:cs="Calibri"/>
          <w:sz w:val="28"/>
          <w:szCs w:val="28"/>
        </w:rPr>
        <w:t xml:space="preserve"> would require the legislature to ratify any PSC approved rate increases for public utilities.</w:t>
      </w:r>
      <w:r w:rsidR="00A234D5">
        <w:rPr>
          <w:rFonts w:cs="Calibri"/>
          <w:sz w:val="28"/>
          <w:szCs w:val="28"/>
        </w:rPr>
        <w:t xml:space="preserve">  </w:t>
      </w:r>
      <w:r w:rsidR="002E3A4D">
        <w:rPr>
          <w:rFonts w:cs="Calibri"/>
          <w:sz w:val="28"/>
          <w:szCs w:val="28"/>
        </w:rPr>
        <w:t>Both bills have been withdrawn from further consideration.</w:t>
      </w:r>
    </w:p>
    <w:p w:rsidR="0077784A" w:rsidRDefault="0077784A" w:rsidP="000C2673">
      <w:pPr>
        <w:jc w:val="both"/>
      </w:pPr>
    </w:p>
    <w:sectPr w:rsidR="0077784A" w:rsidSect="00CF04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7F" w:rsidRDefault="00D4227F" w:rsidP="009A02FC">
      <w:pPr>
        <w:spacing w:after="0" w:line="240" w:lineRule="auto"/>
      </w:pPr>
      <w:r>
        <w:separator/>
      </w:r>
    </w:p>
  </w:endnote>
  <w:endnote w:type="continuationSeparator" w:id="0">
    <w:p w:rsidR="00D4227F" w:rsidRDefault="00D4227F" w:rsidP="009A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EA7F1D">
    <w:pPr>
      <w:pStyle w:val="Footer"/>
      <w:jc w:val="center"/>
    </w:pPr>
    <w:r>
      <w:fldChar w:fldCharType="begin"/>
    </w:r>
    <w:r>
      <w:instrText xml:space="preserve"> PAGE   \* MERGEFORMAT </w:instrText>
    </w:r>
    <w:r>
      <w:fldChar w:fldCharType="separate"/>
    </w:r>
    <w:r w:rsidR="003F1CD3">
      <w:rPr>
        <w:noProof/>
      </w:rPr>
      <w:t>1</w:t>
    </w:r>
    <w:r>
      <w:fldChar w:fldCharType="end"/>
    </w:r>
  </w:p>
  <w:p w:rsidR="00EA7F1D" w:rsidRDefault="00EA7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7F" w:rsidRDefault="00D4227F" w:rsidP="009A02FC">
      <w:pPr>
        <w:spacing w:after="0" w:line="240" w:lineRule="auto"/>
      </w:pPr>
      <w:r>
        <w:separator/>
      </w:r>
    </w:p>
  </w:footnote>
  <w:footnote w:type="continuationSeparator" w:id="0">
    <w:p w:rsidR="00D4227F" w:rsidRDefault="00D4227F" w:rsidP="009A0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07" w:rsidRPr="00EA7F1D" w:rsidRDefault="00AE5707">
    <w:pPr>
      <w:pStyle w:val="Header"/>
      <w:jc w:val="center"/>
      <w:rPr>
        <w:lang w:val="en-US"/>
      </w:rPr>
    </w:pPr>
  </w:p>
  <w:p w:rsidR="00AE5707" w:rsidRDefault="00AE5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61B22"/>
    <w:multiLevelType w:val="multilevel"/>
    <w:tmpl w:val="34306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C6840"/>
    <w:multiLevelType w:val="multilevel"/>
    <w:tmpl w:val="3986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B7"/>
    <w:rsid w:val="000011F3"/>
    <w:rsid w:val="000063F3"/>
    <w:rsid w:val="00007E70"/>
    <w:rsid w:val="00010223"/>
    <w:rsid w:val="00010757"/>
    <w:rsid w:val="00016AE2"/>
    <w:rsid w:val="000207D1"/>
    <w:rsid w:val="000302B4"/>
    <w:rsid w:val="000313C4"/>
    <w:rsid w:val="0004263D"/>
    <w:rsid w:val="00047C4B"/>
    <w:rsid w:val="000827BF"/>
    <w:rsid w:val="000A0D4E"/>
    <w:rsid w:val="000A36F0"/>
    <w:rsid w:val="000A66BA"/>
    <w:rsid w:val="000B4BD7"/>
    <w:rsid w:val="000B6D34"/>
    <w:rsid w:val="000C2673"/>
    <w:rsid w:val="000C380E"/>
    <w:rsid w:val="000D7A07"/>
    <w:rsid w:val="000E33E8"/>
    <w:rsid w:val="000E3506"/>
    <w:rsid w:val="000F5974"/>
    <w:rsid w:val="001005B0"/>
    <w:rsid w:val="00113A31"/>
    <w:rsid w:val="00116361"/>
    <w:rsid w:val="00125C93"/>
    <w:rsid w:val="001267F1"/>
    <w:rsid w:val="00135AD1"/>
    <w:rsid w:val="00142420"/>
    <w:rsid w:val="00171DA7"/>
    <w:rsid w:val="001916D8"/>
    <w:rsid w:val="001A6899"/>
    <w:rsid w:val="001A6B74"/>
    <w:rsid w:val="001B7D8E"/>
    <w:rsid w:val="001D223F"/>
    <w:rsid w:val="002234EF"/>
    <w:rsid w:val="00223A83"/>
    <w:rsid w:val="00225198"/>
    <w:rsid w:val="002369B5"/>
    <w:rsid w:val="002821D9"/>
    <w:rsid w:val="00286582"/>
    <w:rsid w:val="00291C73"/>
    <w:rsid w:val="002A087E"/>
    <w:rsid w:val="002A60A0"/>
    <w:rsid w:val="002B0A9B"/>
    <w:rsid w:val="002C11DF"/>
    <w:rsid w:val="002C5CD9"/>
    <w:rsid w:val="002E046A"/>
    <w:rsid w:val="002E3A4D"/>
    <w:rsid w:val="002F59EF"/>
    <w:rsid w:val="00301E58"/>
    <w:rsid w:val="00310EC6"/>
    <w:rsid w:val="0032408C"/>
    <w:rsid w:val="00324611"/>
    <w:rsid w:val="003439FB"/>
    <w:rsid w:val="003513A2"/>
    <w:rsid w:val="00352C00"/>
    <w:rsid w:val="00354F9B"/>
    <w:rsid w:val="00357F4F"/>
    <w:rsid w:val="0036540B"/>
    <w:rsid w:val="00371EB0"/>
    <w:rsid w:val="00384A43"/>
    <w:rsid w:val="00393D9D"/>
    <w:rsid w:val="003A37DF"/>
    <w:rsid w:val="003A517F"/>
    <w:rsid w:val="003A65F3"/>
    <w:rsid w:val="003A6B04"/>
    <w:rsid w:val="003A7CAA"/>
    <w:rsid w:val="003C12E9"/>
    <w:rsid w:val="003E0BC2"/>
    <w:rsid w:val="003F1CD3"/>
    <w:rsid w:val="004160E7"/>
    <w:rsid w:val="00425486"/>
    <w:rsid w:val="004411E4"/>
    <w:rsid w:val="00445066"/>
    <w:rsid w:val="004474BB"/>
    <w:rsid w:val="00463F3D"/>
    <w:rsid w:val="00480B19"/>
    <w:rsid w:val="00496BC7"/>
    <w:rsid w:val="004B179A"/>
    <w:rsid w:val="004B47DF"/>
    <w:rsid w:val="004C174D"/>
    <w:rsid w:val="004D21C5"/>
    <w:rsid w:val="004D3AD8"/>
    <w:rsid w:val="004D4605"/>
    <w:rsid w:val="004F79BD"/>
    <w:rsid w:val="00526A77"/>
    <w:rsid w:val="0052784D"/>
    <w:rsid w:val="00530FB9"/>
    <w:rsid w:val="005643E5"/>
    <w:rsid w:val="0058389F"/>
    <w:rsid w:val="00584568"/>
    <w:rsid w:val="005902FA"/>
    <w:rsid w:val="00591E44"/>
    <w:rsid w:val="00596A7B"/>
    <w:rsid w:val="005A231E"/>
    <w:rsid w:val="005A40F5"/>
    <w:rsid w:val="005D066D"/>
    <w:rsid w:val="005F7123"/>
    <w:rsid w:val="00617DB5"/>
    <w:rsid w:val="00623359"/>
    <w:rsid w:val="006426A7"/>
    <w:rsid w:val="00665B71"/>
    <w:rsid w:val="00680BFD"/>
    <w:rsid w:val="006A305F"/>
    <w:rsid w:val="006A35AB"/>
    <w:rsid w:val="006B54C2"/>
    <w:rsid w:val="006C0B01"/>
    <w:rsid w:val="006E6C72"/>
    <w:rsid w:val="00706F64"/>
    <w:rsid w:val="007117E8"/>
    <w:rsid w:val="007153F9"/>
    <w:rsid w:val="0071725D"/>
    <w:rsid w:val="00717D46"/>
    <w:rsid w:val="00720E8A"/>
    <w:rsid w:val="0076380D"/>
    <w:rsid w:val="007638EB"/>
    <w:rsid w:val="00770EFB"/>
    <w:rsid w:val="0077784A"/>
    <w:rsid w:val="007811E0"/>
    <w:rsid w:val="00790A26"/>
    <w:rsid w:val="007A45FF"/>
    <w:rsid w:val="007B4009"/>
    <w:rsid w:val="007B64FD"/>
    <w:rsid w:val="007C5EA2"/>
    <w:rsid w:val="007D3A8E"/>
    <w:rsid w:val="007F05A5"/>
    <w:rsid w:val="007F6888"/>
    <w:rsid w:val="00811FFB"/>
    <w:rsid w:val="00833066"/>
    <w:rsid w:val="008448AD"/>
    <w:rsid w:val="008568FE"/>
    <w:rsid w:val="00860DE2"/>
    <w:rsid w:val="00861018"/>
    <w:rsid w:val="00875AC4"/>
    <w:rsid w:val="00876F70"/>
    <w:rsid w:val="00884B54"/>
    <w:rsid w:val="008A5241"/>
    <w:rsid w:val="008A5399"/>
    <w:rsid w:val="008B41E6"/>
    <w:rsid w:val="008C390E"/>
    <w:rsid w:val="008C554A"/>
    <w:rsid w:val="00905A2B"/>
    <w:rsid w:val="0091712A"/>
    <w:rsid w:val="0092536F"/>
    <w:rsid w:val="0093009A"/>
    <w:rsid w:val="0094556B"/>
    <w:rsid w:val="00961E3F"/>
    <w:rsid w:val="00964722"/>
    <w:rsid w:val="009A02FC"/>
    <w:rsid w:val="009A5D88"/>
    <w:rsid w:val="009A6A33"/>
    <w:rsid w:val="009C7528"/>
    <w:rsid w:val="009F08F3"/>
    <w:rsid w:val="009F12C0"/>
    <w:rsid w:val="009F61A4"/>
    <w:rsid w:val="00A075B4"/>
    <w:rsid w:val="00A22B34"/>
    <w:rsid w:val="00A234D5"/>
    <w:rsid w:val="00A30430"/>
    <w:rsid w:val="00A513FB"/>
    <w:rsid w:val="00A516D2"/>
    <w:rsid w:val="00A652B0"/>
    <w:rsid w:val="00A94A85"/>
    <w:rsid w:val="00AA23E7"/>
    <w:rsid w:val="00AA7D5D"/>
    <w:rsid w:val="00AB58C4"/>
    <w:rsid w:val="00AC2564"/>
    <w:rsid w:val="00AC4042"/>
    <w:rsid w:val="00AD475F"/>
    <w:rsid w:val="00AE3210"/>
    <w:rsid w:val="00AE5707"/>
    <w:rsid w:val="00AF05E1"/>
    <w:rsid w:val="00AF54B7"/>
    <w:rsid w:val="00B00E4B"/>
    <w:rsid w:val="00B06295"/>
    <w:rsid w:val="00B1541A"/>
    <w:rsid w:val="00B1562A"/>
    <w:rsid w:val="00B17B7B"/>
    <w:rsid w:val="00B2254D"/>
    <w:rsid w:val="00B352A9"/>
    <w:rsid w:val="00B365A9"/>
    <w:rsid w:val="00B443F6"/>
    <w:rsid w:val="00B52283"/>
    <w:rsid w:val="00B55620"/>
    <w:rsid w:val="00B55C62"/>
    <w:rsid w:val="00B65D4F"/>
    <w:rsid w:val="00B9067E"/>
    <w:rsid w:val="00B915E1"/>
    <w:rsid w:val="00B9503F"/>
    <w:rsid w:val="00BA3186"/>
    <w:rsid w:val="00BD0234"/>
    <w:rsid w:val="00BD1B5D"/>
    <w:rsid w:val="00BE1E2A"/>
    <w:rsid w:val="00BE6611"/>
    <w:rsid w:val="00C10BEC"/>
    <w:rsid w:val="00C1370F"/>
    <w:rsid w:val="00C14E46"/>
    <w:rsid w:val="00C169E1"/>
    <w:rsid w:val="00C30D84"/>
    <w:rsid w:val="00C4527B"/>
    <w:rsid w:val="00C674FE"/>
    <w:rsid w:val="00C93E04"/>
    <w:rsid w:val="00C952A5"/>
    <w:rsid w:val="00CB3461"/>
    <w:rsid w:val="00CB5965"/>
    <w:rsid w:val="00CB71F0"/>
    <w:rsid w:val="00CD15A6"/>
    <w:rsid w:val="00CD2364"/>
    <w:rsid w:val="00CD5144"/>
    <w:rsid w:val="00CF0421"/>
    <w:rsid w:val="00CF1A55"/>
    <w:rsid w:val="00D00568"/>
    <w:rsid w:val="00D03573"/>
    <w:rsid w:val="00D2634C"/>
    <w:rsid w:val="00D352BE"/>
    <w:rsid w:val="00D35A71"/>
    <w:rsid w:val="00D37933"/>
    <w:rsid w:val="00D4227F"/>
    <w:rsid w:val="00D54FD3"/>
    <w:rsid w:val="00D648DC"/>
    <w:rsid w:val="00D64EA6"/>
    <w:rsid w:val="00D663AC"/>
    <w:rsid w:val="00D72D33"/>
    <w:rsid w:val="00D81A8B"/>
    <w:rsid w:val="00D87167"/>
    <w:rsid w:val="00D95E2A"/>
    <w:rsid w:val="00DA2989"/>
    <w:rsid w:val="00DB1467"/>
    <w:rsid w:val="00DB1C3B"/>
    <w:rsid w:val="00DC7468"/>
    <w:rsid w:val="00DE0A40"/>
    <w:rsid w:val="00DF796A"/>
    <w:rsid w:val="00E00BD9"/>
    <w:rsid w:val="00E0688D"/>
    <w:rsid w:val="00E44173"/>
    <w:rsid w:val="00E60D59"/>
    <w:rsid w:val="00E6627E"/>
    <w:rsid w:val="00E67FD2"/>
    <w:rsid w:val="00EA63F9"/>
    <w:rsid w:val="00EA7F1D"/>
    <w:rsid w:val="00EB050A"/>
    <w:rsid w:val="00EB44E5"/>
    <w:rsid w:val="00EE01FA"/>
    <w:rsid w:val="00EF0F1F"/>
    <w:rsid w:val="00F1640A"/>
    <w:rsid w:val="00F33E44"/>
    <w:rsid w:val="00F5173A"/>
    <w:rsid w:val="00F541DB"/>
    <w:rsid w:val="00F75788"/>
    <w:rsid w:val="00F85B00"/>
    <w:rsid w:val="00F94B3C"/>
    <w:rsid w:val="00FA39CD"/>
    <w:rsid w:val="00FA62B1"/>
    <w:rsid w:val="00FB0894"/>
    <w:rsid w:val="00FB69B0"/>
    <w:rsid w:val="00FC54FC"/>
    <w:rsid w:val="00FD1E17"/>
    <w:rsid w:val="00FD1F73"/>
    <w:rsid w:val="00FD6B60"/>
    <w:rsid w:val="00FD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25198"/>
    <w:rPr>
      <w:rFonts w:ascii="Tahoma" w:hAnsi="Tahoma" w:cs="Tahoma"/>
      <w:sz w:val="16"/>
      <w:szCs w:val="16"/>
    </w:rPr>
  </w:style>
  <w:style w:type="paragraph" w:styleId="Header">
    <w:name w:val="header"/>
    <w:basedOn w:val="Normal"/>
    <w:link w:val="HeaderChar"/>
    <w:uiPriority w:val="99"/>
    <w:unhideWhenUsed/>
    <w:rsid w:val="009A02FC"/>
    <w:pPr>
      <w:tabs>
        <w:tab w:val="center" w:pos="4680"/>
        <w:tab w:val="right" w:pos="9360"/>
      </w:tabs>
    </w:pPr>
    <w:rPr>
      <w:lang w:val="x-none" w:eastAsia="x-none"/>
    </w:rPr>
  </w:style>
  <w:style w:type="character" w:customStyle="1" w:styleId="HeaderChar">
    <w:name w:val="Header Char"/>
    <w:link w:val="Header"/>
    <w:uiPriority w:val="99"/>
    <w:rsid w:val="009A02FC"/>
    <w:rPr>
      <w:sz w:val="22"/>
      <w:szCs w:val="22"/>
    </w:rPr>
  </w:style>
  <w:style w:type="paragraph" w:styleId="Footer">
    <w:name w:val="footer"/>
    <w:basedOn w:val="Normal"/>
    <w:link w:val="FooterChar"/>
    <w:uiPriority w:val="99"/>
    <w:unhideWhenUsed/>
    <w:rsid w:val="009A02FC"/>
    <w:pPr>
      <w:tabs>
        <w:tab w:val="center" w:pos="4680"/>
        <w:tab w:val="right" w:pos="9360"/>
      </w:tabs>
    </w:pPr>
    <w:rPr>
      <w:lang w:val="x-none" w:eastAsia="x-none"/>
    </w:rPr>
  </w:style>
  <w:style w:type="character" w:customStyle="1" w:styleId="FooterChar">
    <w:name w:val="Footer Char"/>
    <w:link w:val="Footer"/>
    <w:uiPriority w:val="99"/>
    <w:rsid w:val="009A02FC"/>
    <w:rPr>
      <w:sz w:val="22"/>
      <w:szCs w:val="22"/>
    </w:rPr>
  </w:style>
  <w:style w:type="character" w:styleId="Hyperlink">
    <w:name w:val="Hyperlink"/>
    <w:uiPriority w:val="99"/>
    <w:unhideWhenUsed/>
    <w:rsid w:val="00D648DC"/>
    <w:rPr>
      <w:color w:val="0000FF"/>
      <w:u w:val="single"/>
    </w:rPr>
  </w:style>
  <w:style w:type="paragraph" w:styleId="PlainText">
    <w:name w:val="Plain Text"/>
    <w:basedOn w:val="Normal"/>
    <w:link w:val="PlainTextChar"/>
    <w:uiPriority w:val="99"/>
    <w:semiHidden/>
    <w:unhideWhenUsed/>
    <w:rsid w:val="004D21C5"/>
    <w:pPr>
      <w:spacing w:after="0" w:line="240" w:lineRule="auto"/>
    </w:pPr>
    <w:rPr>
      <w:szCs w:val="21"/>
    </w:rPr>
  </w:style>
  <w:style w:type="character" w:customStyle="1" w:styleId="PlainTextChar">
    <w:name w:val="Plain Text Char"/>
    <w:link w:val="PlainText"/>
    <w:uiPriority w:val="99"/>
    <w:semiHidden/>
    <w:rsid w:val="004D21C5"/>
    <w:rPr>
      <w:sz w:val="22"/>
      <w:szCs w:val="21"/>
    </w:rPr>
  </w:style>
  <w:style w:type="paragraph" w:customStyle="1" w:styleId="stylemaintext">
    <w:name w:val="stylemaintext"/>
    <w:basedOn w:val="Normal"/>
    <w:rsid w:val="005902FA"/>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uiPriority w:val="20"/>
    <w:qFormat/>
    <w:rsid w:val="005902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25198"/>
    <w:rPr>
      <w:rFonts w:ascii="Tahoma" w:hAnsi="Tahoma" w:cs="Tahoma"/>
      <w:sz w:val="16"/>
      <w:szCs w:val="16"/>
    </w:rPr>
  </w:style>
  <w:style w:type="paragraph" w:styleId="Header">
    <w:name w:val="header"/>
    <w:basedOn w:val="Normal"/>
    <w:link w:val="HeaderChar"/>
    <w:uiPriority w:val="99"/>
    <w:unhideWhenUsed/>
    <w:rsid w:val="009A02FC"/>
    <w:pPr>
      <w:tabs>
        <w:tab w:val="center" w:pos="4680"/>
        <w:tab w:val="right" w:pos="9360"/>
      </w:tabs>
    </w:pPr>
    <w:rPr>
      <w:lang w:val="x-none" w:eastAsia="x-none"/>
    </w:rPr>
  </w:style>
  <w:style w:type="character" w:customStyle="1" w:styleId="HeaderChar">
    <w:name w:val="Header Char"/>
    <w:link w:val="Header"/>
    <w:uiPriority w:val="99"/>
    <w:rsid w:val="009A02FC"/>
    <w:rPr>
      <w:sz w:val="22"/>
      <w:szCs w:val="22"/>
    </w:rPr>
  </w:style>
  <w:style w:type="paragraph" w:styleId="Footer">
    <w:name w:val="footer"/>
    <w:basedOn w:val="Normal"/>
    <w:link w:val="FooterChar"/>
    <w:uiPriority w:val="99"/>
    <w:unhideWhenUsed/>
    <w:rsid w:val="009A02FC"/>
    <w:pPr>
      <w:tabs>
        <w:tab w:val="center" w:pos="4680"/>
        <w:tab w:val="right" w:pos="9360"/>
      </w:tabs>
    </w:pPr>
    <w:rPr>
      <w:lang w:val="x-none" w:eastAsia="x-none"/>
    </w:rPr>
  </w:style>
  <w:style w:type="character" w:customStyle="1" w:styleId="FooterChar">
    <w:name w:val="Footer Char"/>
    <w:link w:val="Footer"/>
    <w:uiPriority w:val="99"/>
    <w:rsid w:val="009A02FC"/>
    <w:rPr>
      <w:sz w:val="22"/>
      <w:szCs w:val="22"/>
    </w:rPr>
  </w:style>
  <w:style w:type="character" w:styleId="Hyperlink">
    <w:name w:val="Hyperlink"/>
    <w:uiPriority w:val="99"/>
    <w:unhideWhenUsed/>
    <w:rsid w:val="00D648DC"/>
    <w:rPr>
      <w:color w:val="0000FF"/>
      <w:u w:val="single"/>
    </w:rPr>
  </w:style>
  <w:style w:type="paragraph" w:styleId="PlainText">
    <w:name w:val="Plain Text"/>
    <w:basedOn w:val="Normal"/>
    <w:link w:val="PlainTextChar"/>
    <w:uiPriority w:val="99"/>
    <w:semiHidden/>
    <w:unhideWhenUsed/>
    <w:rsid w:val="004D21C5"/>
    <w:pPr>
      <w:spacing w:after="0" w:line="240" w:lineRule="auto"/>
    </w:pPr>
    <w:rPr>
      <w:szCs w:val="21"/>
    </w:rPr>
  </w:style>
  <w:style w:type="character" w:customStyle="1" w:styleId="PlainTextChar">
    <w:name w:val="Plain Text Char"/>
    <w:link w:val="PlainText"/>
    <w:uiPriority w:val="99"/>
    <w:semiHidden/>
    <w:rsid w:val="004D21C5"/>
    <w:rPr>
      <w:sz w:val="22"/>
      <w:szCs w:val="21"/>
    </w:rPr>
  </w:style>
  <w:style w:type="paragraph" w:customStyle="1" w:styleId="stylemaintext">
    <w:name w:val="stylemaintext"/>
    <w:basedOn w:val="Normal"/>
    <w:rsid w:val="005902FA"/>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uiPriority w:val="20"/>
    <w:qFormat/>
    <w:rsid w:val="00590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0222">
      <w:bodyDiv w:val="1"/>
      <w:marLeft w:val="0"/>
      <w:marRight w:val="0"/>
      <w:marTop w:val="0"/>
      <w:marBottom w:val="0"/>
      <w:divBdr>
        <w:top w:val="none" w:sz="0" w:space="0" w:color="auto"/>
        <w:left w:val="none" w:sz="0" w:space="0" w:color="auto"/>
        <w:bottom w:val="none" w:sz="0" w:space="0" w:color="auto"/>
        <w:right w:val="none" w:sz="0" w:space="0" w:color="auto"/>
      </w:divBdr>
    </w:div>
    <w:div w:id="416438970">
      <w:bodyDiv w:val="1"/>
      <w:marLeft w:val="0"/>
      <w:marRight w:val="0"/>
      <w:marTop w:val="0"/>
      <w:marBottom w:val="0"/>
      <w:divBdr>
        <w:top w:val="none" w:sz="0" w:space="0" w:color="auto"/>
        <w:left w:val="none" w:sz="0" w:space="0" w:color="auto"/>
        <w:bottom w:val="none" w:sz="0" w:space="0" w:color="auto"/>
        <w:right w:val="none" w:sz="0" w:space="0" w:color="auto"/>
      </w:divBdr>
    </w:div>
    <w:div w:id="1268197566">
      <w:bodyDiv w:val="1"/>
      <w:marLeft w:val="0"/>
      <w:marRight w:val="0"/>
      <w:marTop w:val="0"/>
      <w:marBottom w:val="0"/>
      <w:divBdr>
        <w:top w:val="none" w:sz="0" w:space="0" w:color="auto"/>
        <w:left w:val="none" w:sz="0" w:space="0" w:color="auto"/>
        <w:bottom w:val="none" w:sz="0" w:space="0" w:color="auto"/>
        <w:right w:val="none" w:sz="0" w:space="0" w:color="auto"/>
      </w:divBdr>
    </w:div>
    <w:div w:id="16751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yfloridahous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26208</CharactersWithSpaces>
  <SharedDoc>false</SharedDoc>
  <HLinks>
    <vt:vector size="12" baseType="variant">
      <vt:variant>
        <vt:i4>4849740</vt:i4>
      </vt:variant>
      <vt:variant>
        <vt:i4>5</vt:i4>
      </vt:variant>
      <vt:variant>
        <vt:i4>0</vt:i4>
      </vt:variant>
      <vt:variant>
        <vt:i4>5</vt:i4>
      </vt:variant>
      <vt:variant>
        <vt:lpwstr>http://www.flsenate.gov/</vt:lpwstr>
      </vt:variant>
      <vt:variant>
        <vt:lpwstr/>
      </vt:variant>
      <vt:variant>
        <vt:i4>3473466</vt:i4>
      </vt:variant>
      <vt:variant>
        <vt:i4>2</vt:i4>
      </vt:variant>
      <vt:variant>
        <vt:i4>0</vt:i4>
      </vt:variant>
      <vt:variant>
        <vt:i4>5</vt:i4>
      </vt:variant>
      <vt:variant>
        <vt:lpwstr>http://www.myfloridahouse.gov/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dc:creator>
  <cp:keywords/>
  <cp:lastModifiedBy>Bill Willingham</cp:lastModifiedBy>
  <cp:revision>2</cp:revision>
  <cp:lastPrinted>2011-04-01T19:24:00Z</cp:lastPrinted>
  <dcterms:created xsi:type="dcterms:W3CDTF">2011-04-01T20:27:00Z</dcterms:created>
  <dcterms:modified xsi:type="dcterms:W3CDTF">2011-04-01T20:27:00Z</dcterms:modified>
</cp:coreProperties>
</file>