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578"/>
      </w:tblGrid>
      <w:tr w:rsidR="00D37D35" w:rsidTr="00BC022B">
        <w:tc>
          <w:tcPr>
            <w:tcW w:w="9576" w:type="dxa"/>
            <w:gridSpan w:val="2"/>
          </w:tcPr>
          <w:p w:rsidR="00D37D35" w:rsidRDefault="007D6F07" w:rsidP="00857CA0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90700" cy="1162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D35" w:rsidTr="00BC022B">
        <w:trPr>
          <w:trHeight w:val="692"/>
        </w:trPr>
        <w:tc>
          <w:tcPr>
            <w:tcW w:w="4788" w:type="dxa"/>
          </w:tcPr>
          <w:p w:rsidR="00D37D35" w:rsidRDefault="00D37D35" w:rsidP="00857CA0">
            <w:pPr>
              <w:pStyle w:val="Header"/>
              <w:rPr>
                <w:rFonts w:asciiTheme="minorHAnsi" w:hAnsiTheme="minorHAnsi" w:cstheme="minorHAnsi"/>
                <w:sz w:val="22"/>
                <w:szCs w:val="72"/>
              </w:rPr>
            </w:pPr>
          </w:p>
          <w:p w:rsidR="00D37D35" w:rsidRDefault="00D37D35" w:rsidP="00857CA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Immediate Release</w:t>
            </w:r>
          </w:p>
          <w:p w:rsidR="00D37D35" w:rsidRPr="007332D9" w:rsidRDefault="00216880" w:rsidP="00C1086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June 1</w:t>
            </w:r>
            <w:r w:rsidR="00691BC7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>, 2017</w:t>
            </w:r>
          </w:p>
        </w:tc>
        <w:tc>
          <w:tcPr>
            <w:tcW w:w="4788" w:type="dxa"/>
          </w:tcPr>
          <w:p w:rsidR="00D37D35" w:rsidRPr="003804EE" w:rsidRDefault="00D37D35" w:rsidP="00857CA0">
            <w:pPr>
              <w:pStyle w:val="Header"/>
              <w:jc w:val="right"/>
              <w:rPr>
                <w:rFonts w:asciiTheme="minorHAnsi" w:hAnsiTheme="minorHAnsi" w:cstheme="minorHAnsi"/>
                <w:i/>
                <w:sz w:val="22"/>
                <w:szCs w:val="72"/>
              </w:rPr>
            </w:pPr>
          </w:p>
          <w:p w:rsidR="00D37D35" w:rsidRPr="003804EE" w:rsidRDefault="003804EE" w:rsidP="003804EE">
            <w:pPr>
              <w:pStyle w:val="Header"/>
              <w:tabs>
                <w:tab w:val="left" w:pos="2992"/>
                <w:tab w:val="right" w:pos="4362"/>
              </w:tabs>
              <w:jc w:val="left"/>
              <w:rPr>
                <w:rFonts w:asciiTheme="minorHAnsi" w:hAnsiTheme="minorHAnsi" w:cstheme="minorHAnsi"/>
                <w:i/>
                <w:sz w:val="22"/>
                <w:szCs w:val="72"/>
              </w:rPr>
            </w:pPr>
            <w:r w:rsidRPr="003804EE">
              <w:rPr>
                <w:rFonts w:asciiTheme="minorHAnsi" w:hAnsiTheme="minorHAnsi" w:cstheme="minorHAnsi"/>
                <w:i/>
                <w:sz w:val="22"/>
                <w:szCs w:val="72"/>
              </w:rPr>
              <w:tab/>
            </w:r>
            <w:r w:rsidRPr="003804EE">
              <w:rPr>
                <w:rFonts w:asciiTheme="minorHAnsi" w:hAnsiTheme="minorHAnsi" w:cstheme="minorHAnsi"/>
                <w:i/>
                <w:sz w:val="22"/>
                <w:szCs w:val="72"/>
              </w:rPr>
              <w:tab/>
              <w:t>With photo</w:t>
            </w:r>
          </w:p>
        </w:tc>
      </w:tr>
      <w:tr w:rsidR="007A2FF7" w:rsidTr="00BC022B">
        <w:trPr>
          <w:trHeight w:val="547"/>
        </w:trPr>
        <w:tc>
          <w:tcPr>
            <w:tcW w:w="9576" w:type="dxa"/>
            <w:gridSpan w:val="2"/>
          </w:tcPr>
          <w:p w:rsidR="007A2FF7" w:rsidRPr="00512947" w:rsidRDefault="007A2FF7" w:rsidP="007A2FF7">
            <w:pPr>
              <w:rPr>
                <w:rFonts w:cstheme="minorHAnsi"/>
                <w:szCs w:val="28"/>
              </w:rPr>
            </w:pPr>
          </w:p>
          <w:p w:rsidR="0017247B" w:rsidRDefault="00B77A6C" w:rsidP="0017247B">
            <w:pPr>
              <w:pStyle w:val="NormalWeb"/>
              <w:spacing w:before="0" w:beforeAutospacing="0" w:after="0" w:afterAutospacing="0"/>
              <w:jc w:val="center"/>
              <w:rPr>
                <w:rStyle w:val="xs60"/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Style w:val="xs60"/>
                <w:rFonts w:ascii="Calibri" w:hAnsi="Calibri"/>
                <w:b/>
                <w:bCs/>
                <w:sz w:val="36"/>
                <w:szCs w:val="36"/>
              </w:rPr>
              <w:t>Florida Electric Cooperative</w:t>
            </w:r>
            <w:r w:rsidR="00691BC7">
              <w:rPr>
                <w:rStyle w:val="xs60"/>
                <w:rFonts w:ascii="Calibri" w:hAnsi="Calibri"/>
                <w:b/>
                <w:bCs/>
                <w:sz w:val="36"/>
                <w:szCs w:val="36"/>
              </w:rPr>
              <w:t>s</w:t>
            </w:r>
            <w:r>
              <w:rPr>
                <w:rStyle w:val="xs60"/>
                <w:rFonts w:ascii="Calibri" w:hAnsi="Calibri"/>
                <w:b/>
                <w:bCs/>
                <w:sz w:val="36"/>
                <w:szCs w:val="36"/>
              </w:rPr>
              <w:t xml:space="preserve"> Association Names New GM</w:t>
            </w:r>
          </w:p>
          <w:p w:rsidR="00B77A6C" w:rsidRPr="00B77A6C" w:rsidRDefault="00B77A6C" w:rsidP="0017247B">
            <w:pPr>
              <w:pStyle w:val="NormalWeb"/>
              <w:spacing w:before="0" w:beforeAutospacing="0" w:after="0" w:afterAutospacing="0"/>
              <w:jc w:val="center"/>
              <w:rPr>
                <w:i/>
                <w:sz w:val="20"/>
              </w:rPr>
            </w:pPr>
            <w:r w:rsidRPr="00B77A6C">
              <w:rPr>
                <w:rStyle w:val="xs60"/>
                <w:rFonts w:ascii="Calibri" w:hAnsi="Calibri"/>
                <w:b/>
                <w:bCs/>
                <w:i/>
                <w:sz w:val="28"/>
                <w:szCs w:val="36"/>
              </w:rPr>
              <w:t>Mike Bjorklund to succeed Bill Willingham</w:t>
            </w:r>
          </w:p>
          <w:p w:rsidR="0017247B" w:rsidRDefault="0017247B" w:rsidP="0017247B">
            <w:pPr>
              <w:pStyle w:val="NormalWeb"/>
              <w:spacing w:before="0" w:beforeAutospacing="0" w:after="0" w:afterAutospacing="0" w:line="324" w:lineRule="atLeast"/>
              <w:jc w:val="center"/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  <w:p w:rsidR="0017247B" w:rsidRDefault="00B77A6C" w:rsidP="0017247B">
            <w:pPr>
              <w:pStyle w:val="xs40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Style w:val="xbumpedfont150"/>
                <w:rFonts w:ascii="Calibri" w:hAnsi="Calibri"/>
                <w:b/>
                <w:bCs/>
                <w:color w:val="000000"/>
              </w:rPr>
              <w:t>TALLAHASSEE, FL.</w:t>
            </w:r>
            <w:r w:rsidR="0017247B" w:rsidRPr="0017247B">
              <w:rPr>
                <w:rStyle w:val="xbumpedfont150"/>
                <w:rFonts w:ascii="Calibri" w:hAnsi="Calibri"/>
                <w:b/>
                <w:bCs/>
                <w:color w:val="000000"/>
              </w:rPr>
              <w:t xml:space="preserve"> – </w:t>
            </w:r>
            <w:r w:rsidR="0017247B" w:rsidRPr="0017247B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/>
              </w:rPr>
              <w:t>Florida Electric Cooperative Association</w:t>
            </w:r>
            <w:r w:rsidR="0017247B" w:rsidRPr="0017247B">
              <w:rPr>
                <w:rFonts w:ascii="Calibri" w:hAnsi="Calibri"/>
              </w:rPr>
              <w:t xml:space="preserve"> </w:t>
            </w:r>
            <w:r w:rsidR="003F2E8D">
              <w:rPr>
                <w:rFonts w:ascii="Calibri" w:hAnsi="Calibri"/>
              </w:rPr>
              <w:t xml:space="preserve">(FECA) </w:t>
            </w:r>
            <w:r w:rsidR="0017247B" w:rsidRPr="0017247B">
              <w:rPr>
                <w:rFonts w:ascii="Calibri" w:hAnsi="Calibri"/>
              </w:rPr>
              <w:t xml:space="preserve">today </w:t>
            </w:r>
            <w:r>
              <w:rPr>
                <w:rFonts w:ascii="Calibri" w:hAnsi="Calibri"/>
              </w:rPr>
              <w:t>announced that Mike Bjorklund will succeed Bill Willingham as General Manager</w:t>
            </w:r>
            <w:r w:rsidR="003F2E8D">
              <w:rPr>
                <w:rFonts w:ascii="Calibri" w:hAnsi="Calibri"/>
              </w:rPr>
              <w:t xml:space="preserve"> (GM)</w:t>
            </w:r>
            <w:r>
              <w:rPr>
                <w:rFonts w:ascii="Calibri" w:hAnsi="Calibri"/>
              </w:rPr>
              <w:t xml:space="preserve">. Willingham will retire </w:t>
            </w:r>
            <w:r w:rsidR="00590A58">
              <w:rPr>
                <w:rFonts w:ascii="Calibri" w:hAnsi="Calibri"/>
              </w:rPr>
              <w:t>in July</w:t>
            </w:r>
            <w:r w:rsidR="003F2E8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after </w:t>
            </w:r>
            <w:r w:rsidR="007D6F07">
              <w:rPr>
                <w:rFonts w:ascii="Calibri" w:hAnsi="Calibri"/>
              </w:rPr>
              <w:t>nearly 20 years</w:t>
            </w:r>
            <w:r>
              <w:rPr>
                <w:rFonts w:ascii="Calibri" w:hAnsi="Calibri"/>
              </w:rPr>
              <w:t xml:space="preserve"> of service to Florida’s electric cooperatives.</w:t>
            </w:r>
          </w:p>
          <w:p w:rsidR="00B77A6C" w:rsidRDefault="00B77A6C" w:rsidP="0017247B">
            <w:pPr>
              <w:pStyle w:val="xs40"/>
              <w:spacing w:before="0" w:beforeAutospacing="0" w:after="0" w:afterAutospacing="0"/>
              <w:rPr>
                <w:rFonts w:ascii="Calibri" w:hAnsi="Calibri"/>
              </w:rPr>
            </w:pPr>
          </w:p>
          <w:p w:rsidR="00B77A6C" w:rsidRPr="00B77A6C" w:rsidRDefault="00B77A6C" w:rsidP="0017247B">
            <w:pPr>
              <w:pStyle w:val="xs40"/>
              <w:spacing w:before="0" w:beforeAutospacing="0" w:after="0" w:afterAutospacing="0"/>
              <w:rPr>
                <w:rFonts w:asciiTheme="minorHAnsi" w:hAnsiTheme="minorHAnsi"/>
              </w:rPr>
            </w:pPr>
            <w:r w:rsidRPr="00B77A6C">
              <w:rPr>
                <w:rFonts w:asciiTheme="minorHAnsi" w:hAnsiTheme="minorHAnsi"/>
              </w:rPr>
              <w:t xml:space="preserve">Bjorklund is an accomplished government relations and communications strategist.  He has worked with FECA since </w:t>
            </w:r>
            <w:r w:rsidR="007D6F07">
              <w:rPr>
                <w:rFonts w:asciiTheme="minorHAnsi" w:hAnsiTheme="minorHAnsi"/>
              </w:rPr>
              <w:t>2007</w:t>
            </w:r>
            <w:r w:rsidRPr="00B77A6C">
              <w:rPr>
                <w:rFonts w:asciiTheme="minorHAnsi" w:hAnsiTheme="minorHAnsi"/>
              </w:rPr>
              <w:t xml:space="preserve">, most recently serving as </w:t>
            </w:r>
            <w:r w:rsidR="007D6F07">
              <w:rPr>
                <w:rFonts w:asciiTheme="minorHAnsi" w:hAnsiTheme="minorHAnsi"/>
              </w:rPr>
              <w:t>Director of Legislative Affairs</w:t>
            </w:r>
            <w:r w:rsidRPr="00B77A6C">
              <w:rPr>
                <w:rFonts w:asciiTheme="minorHAnsi" w:hAnsiTheme="minorHAnsi"/>
              </w:rPr>
              <w:t xml:space="preserve">. </w:t>
            </w:r>
          </w:p>
          <w:p w:rsidR="00B77A6C" w:rsidRPr="00B77A6C" w:rsidRDefault="00B77A6C" w:rsidP="0017247B">
            <w:pPr>
              <w:pStyle w:val="xs40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B77A6C" w:rsidRPr="00B77A6C" w:rsidRDefault="00B77A6C" w:rsidP="0017247B">
            <w:pPr>
              <w:pStyle w:val="xs40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“For years, Mike has effectively advocated for Florida’s electric cooperatives at the state legislature.  I’m excited to have him take the helm of our association,” said </w:t>
            </w:r>
            <w:r w:rsidR="007D6F07">
              <w:rPr>
                <w:rFonts w:asciiTheme="minorHAnsi" w:hAnsiTheme="minorHAnsi"/>
              </w:rPr>
              <w:t>Kelley Smith</w:t>
            </w:r>
            <w:r>
              <w:rPr>
                <w:rFonts w:asciiTheme="minorHAnsi" w:hAnsiTheme="minorHAnsi"/>
              </w:rPr>
              <w:t xml:space="preserve">, </w:t>
            </w:r>
            <w:r w:rsidR="007D6F07">
              <w:rPr>
                <w:rFonts w:asciiTheme="minorHAnsi" w:hAnsiTheme="minorHAnsi"/>
              </w:rPr>
              <w:t>President of FECA</w:t>
            </w:r>
            <w:r>
              <w:rPr>
                <w:rFonts w:asciiTheme="minorHAnsi" w:hAnsiTheme="minorHAnsi"/>
              </w:rPr>
              <w:t>.  “Mike</w:t>
            </w:r>
            <w:r w:rsidRPr="00B77A6C">
              <w:rPr>
                <w:rFonts w:asciiTheme="minorHAnsi" w:hAnsiTheme="minorHAnsi"/>
              </w:rPr>
              <w:t xml:space="preserve"> brings a wealth of </w:t>
            </w:r>
            <w:r>
              <w:rPr>
                <w:rFonts w:asciiTheme="minorHAnsi" w:hAnsiTheme="minorHAnsi"/>
              </w:rPr>
              <w:t xml:space="preserve">knowledge and experience to the position, and he well understands the importance of </w:t>
            </w:r>
            <w:r w:rsidRPr="00B77A6C">
              <w:rPr>
                <w:rFonts w:asciiTheme="minorHAnsi" w:hAnsiTheme="minorHAnsi"/>
              </w:rPr>
              <w:t xml:space="preserve">electric cooperatives to Florida’s economy.  The Florida </w:t>
            </w:r>
            <w:r w:rsidR="003F2E8D">
              <w:rPr>
                <w:rFonts w:asciiTheme="minorHAnsi" w:hAnsiTheme="minorHAnsi"/>
              </w:rPr>
              <w:t>cooperative</w:t>
            </w:r>
            <w:r w:rsidRPr="00B77A6C">
              <w:rPr>
                <w:rFonts w:asciiTheme="minorHAnsi" w:hAnsiTheme="minorHAnsi"/>
              </w:rPr>
              <w:t xml:space="preserve"> mission is one of innovation, community empowerment and economic advancement.  I look forward to Mike helping us continue that mission for years to come.”</w:t>
            </w:r>
          </w:p>
          <w:p w:rsidR="0017247B" w:rsidRPr="00B77A6C" w:rsidRDefault="0017247B" w:rsidP="0017247B">
            <w:pPr>
              <w:rPr>
                <w:sz w:val="24"/>
                <w:szCs w:val="24"/>
              </w:rPr>
            </w:pPr>
            <w:r w:rsidRPr="00B77A6C">
              <w:rPr>
                <w:sz w:val="24"/>
                <w:szCs w:val="24"/>
              </w:rPr>
              <w:t>  </w:t>
            </w:r>
          </w:p>
          <w:p w:rsidR="00B77A6C" w:rsidRPr="00B77A6C" w:rsidRDefault="0017247B" w:rsidP="0017247B">
            <w:pPr>
              <w:rPr>
                <w:sz w:val="24"/>
                <w:szCs w:val="24"/>
              </w:rPr>
            </w:pPr>
            <w:r w:rsidRPr="00B77A6C">
              <w:rPr>
                <w:sz w:val="24"/>
                <w:szCs w:val="24"/>
              </w:rPr>
              <w:t>“</w:t>
            </w:r>
            <w:r w:rsidR="00216880">
              <w:rPr>
                <w:sz w:val="24"/>
                <w:szCs w:val="24"/>
              </w:rPr>
              <w:t>I owe a</w:t>
            </w:r>
            <w:r w:rsidR="00B77A6C" w:rsidRPr="00B77A6C">
              <w:rPr>
                <w:sz w:val="24"/>
                <w:szCs w:val="24"/>
              </w:rPr>
              <w:t xml:space="preserve"> debt of gratitude to Bill and thank him for his exceptional leadership over the past </w:t>
            </w:r>
            <w:r w:rsidR="00216880">
              <w:rPr>
                <w:sz w:val="24"/>
                <w:szCs w:val="24"/>
              </w:rPr>
              <w:t>two decades</w:t>
            </w:r>
            <w:r w:rsidR="00B77A6C" w:rsidRPr="00B77A6C">
              <w:rPr>
                <w:sz w:val="24"/>
                <w:szCs w:val="24"/>
              </w:rPr>
              <w:t>,” Bjorklund said. “The future is full of opportunity for Florida’s electric cooperatives. I’m honored and excited to work with our members as we continue powering and empowering Florida</w:t>
            </w:r>
            <w:r w:rsidR="00216880">
              <w:rPr>
                <w:sz w:val="24"/>
                <w:szCs w:val="24"/>
              </w:rPr>
              <w:t>’s</w:t>
            </w:r>
            <w:r w:rsidR="00B77A6C" w:rsidRPr="00B77A6C">
              <w:rPr>
                <w:sz w:val="24"/>
                <w:szCs w:val="24"/>
              </w:rPr>
              <w:t xml:space="preserve"> families and businesses.” </w:t>
            </w:r>
          </w:p>
          <w:p w:rsidR="003804EE" w:rsidRDefault="003804EE" w:rsidP="0017247B">
            <w:pPr>
              <w:pStyle w:val="xs40"/>
              <w:spacing w:before="0" w:beforeAutospacing="0" w:after="0" w:afterAutospacing="0"/>
              <w:rPr>
                <w:rFonts w:asciiTheme="minorHAnsi" w:hAnsiTheme="minorHAnsi"/>
                <w:noProof/>
              </w:rPr>
            </w:pPr>
          </w:p>
          <w:p w:rsidR="00B77A6C" w:rsidRPr="00B77A6C" w:rsidRDefault="00216880" w:rsidP="0017247B">
            <w:pPr>
              <w:pStyle w:val="xs40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Bjorklund </w:t>
            </w:r>
            <w:r w:rsidR="00B77A6C" w:rsidRPr="00B77A6C">
              <w:rPr>
                <w:rFonts w:asciiTheme="minorHAnsi" w:hAnsiTheme="minorHAnsi"/>
              </w:rPr>
              <w:t>start</w:t>
            </w:r>
            <w:r>
              <w:rPr>
                <w:rFonts w:asciiTheme="minorHAnsi" w:hAnsiTheme="minorHAnsi"/>
              </w:rPr>
              <w:t>ed as GM</w:t>
            </w:r>
            <w:r w:rsidR="00B77A6C" w:rsidRPr="00B77A6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in early May</w:t>
            </w:r>
            <w:r w:rsidR="00B77A6C" w:rsidRPr="00B77A6C">
              <w:rPr>
                <w:rFonts w:asciiTheme="minorHAnsi" w:hAnsiTheme="minorHAnsi"/>
              </w:rPr>
              <w:t xml:space="preserve">. </w:t>
            </w:r>
            <w:r w:rsidR="003F2E8D">
              <w:rPr>
                <w:rFonts w:asciiTheme="minorHAnsi" w:hAnsiTheme="minorHAnsi"/>
              </w:rPr>
              <w:t xml:space="preserve">He </w:t>
            </w:r>
            <w:r w:rsidR="00590A58">
              <w:rPr>
                <w:rFonts w:asciiTheme="minorHAnsi" w:hAnsiTheme="minorHAnsi"/>
              </w:rPr>
              <w:t>is a graduate of</w:t>
            </w:r>
            <w:r>
              <w:rPr>
                <w:rFonts w:asciiTheme="minorHAnsi" w:hAnsiTheme="minorHAnsi"/>
              </w:rPr>
              <w:t xml:space="preserve"> Troy University and worked for the Florida House of Representatives before </w:t>
            </w:r>
            <w:r w:rsidR="003F2E8D">
              <w:rPr>
                <w:rFonts w:asciiTheme="minorHAnsi" w:hAnsiTheme="minorHAnsi"/>
              </w:rPr>
              <w:t>joining</w:t>
            </w:r>
            <w:r>
              <w:rPr>
                <w:rFonts w:asciiTheme="minorHAnsi" w:hAnsiTheme="minorHAnsi"/>
              </w:rPr>
              <w:t xml:space="preserve"> FECA.</w:t>
            </w:r>
          </w:p>
          <w:p w:rsidR="00B77A6C" w:rsidRPr="00B77A6C" w:rsidRDefault="00B77A6C" w:rsidP="0017247B">
            <w:pPr>
              <w:pStyle w:val="xs40"/>
              <w:spacing w:before="0" w:beforeAutospacing="0" w:after="0" w:afterAutospacing="0"/>
              <w:rPr>
                <w:rFonts w:asciiTheme="minorHAnsi" w:hAnsiTheme="minorHAnsi"/>
              </w:rPr>
            </w:pPr>
          </w:p>
          <w:p w:rsidR="0017247B" w:rsidRDefault="0017247B" w:rsidP="00B77A6C">
            <w:r w:rsidRPr="00B77A6C">
              <w:rPr>
                <w:sz w:val="24"/>
                <w:szCs w:val="24"/>
              </w:rPr>
              <w:t xml:space="preserve">The </w:t>
            </w:r>
            <w:r w:rsidR="00B77A6C" w:rsidRPr="007D6F07">
              <w:rPr>
                <w:sz w:val="24"/>
                <w:szCs w:val="24"/>
              </w:rPr>
              <w:t>Florida Electric Cooperatives Association</w:t>
            </w:r>
            <w:r w:rsidR="00B77A6C" w:rsidRPr="00B77A6C">
              <w:rPr>
                <w:sz w:val="24"/>
                <w:szCs w:val="24"/>
              </w:rPr>
              <w:t>, Inc. is a not for profit, statewide trade association representing 15 electric distribution cooperatives and two generation</w:t>
            </w:r>
            <w:r w:rsidR="00B77A6C" w:rsidRPr="00B77A6C">
              <w:t xml:space="preserve"> </w:t>
            </w:r>
            <w:r w:rsidR="00B77A6C" w:rsidRPr="00590A58">
              <w:rPr>
                <w:sz w:val="24"/>
              </w:rPr>
              <w:t xml:space="preserve">and transmission cooperatives, serving </w:t>
            </w:r>
            <w:r w:rsidR="007D6F07" w:rsidRPr="00590A58">
              <w:rPr>
                <w:sz w:val="24"/>
              </w:rPr>
              <w:t>nearly 2</w:t>
            </w:r>
            <w:r w:rsidR="00B77A6C" w:rsidRPr="00590A58">
              <w:rPr>
                <w:sz w:val="24"/>
              </w:rPr>
              <w:t xml:space="preserve"> million consumers in 53 of 67 Florida counties.</w:t>
            </w:r>
          </w:p>
          <w:p w:rsidR="00B77A6C" w:rsidRPr="0017247B" w:rsidRDefault="00B77A6C" w:rsidP="00B77A6C">
            <w:pPr>
              <w:rPr>
                <w:sz w:val="24"/>
                <w:szCs w:val="24"/>
              </w:rPr>
            </w:pPr>
          </w:p>
          <w:p w:rsidR="007A2FF7" w:rsidRPr="0017247B" w:rsidRDefault="0017247B" w:rsidP="0017247B">
            <w:pPr>
              <w:jc w:val="center"/>
            </w:pPr>
            <w:r>
              <w:rPr>
                <w:sz w:val="24"/>
                <w:szCs w:val="24"/>
              </w:rPr>
              <w:t>###</w:t>
            </w:r>
          </w:p>
        </w:tc>
      </w:tr>
    </w:tbl>
    <w:p w:rsidR="0017247B" w:rsidRDefault="0017247B" w:rsidP="00D7713D"/>
    <w:sectPr w:rsidR="00172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AB" w:rsidRDefault="00E659AB" w:rsidP="0017247B">
      <w:pPr>
        <w:spacing w:line="240" w:lineRule="auto"/>
      </w:pPr>
      <w:r>
        <w:separator/>
      </w:r>
    </w:p>
  </w:endnote>
  <w:endnote w:type="continuationSeparator" w:id="0">
    <w:p w:rsidR="00E659AB" w:rsidRDefault="00E659AB" w:rsidP="00172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AB" w:rsidRDefault="00E659AB" w:rsidP="0017247B">
      <w:pPr>
        <w:spacing w:line="240" w:lineRule="auto"/>
      </w:pPr>
      <w:r>
        <w:separator/>
      </w:r>
    </w:p>
  </w:footnote>
  <w:footnote w:type="continuationSeparator" w:id="0">
    <w:p w:rsidR="00E659AB" w:rsidRDefault="00E659AB" w:rsidP="001724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F7"/>
    <w:rsid w:val="00035E47"/>
    <w:rsid w:val="00036B89"/>
    <w:rsid w:val="000E752F"/>
    <w:rsid w:val="0017247B"/>
    <w:rsid w:val="001B5248"/>
    <w:rsid w:val="0020650B"/>
    <w:rsid w:val="00216880"/>
    <w:rsid w:val="00337E15"/>
    <w:rsid w:val="003804EE"/>
    <w:rsid w:val="003F2E8D"/>
    <w:rsid w:val="00420AF0"/>
    <w:rsid w:val="00590A58"/>
    <w:rsid w:val="0067493F"/>
    <w:rsid w:val="00691BC7"/>
    <w:rsid w:val="00773B0C"/>
    <w:rsid w:val="007A2FF7"/>
    <w:rsid w:val="007D6F07"/>
    <w:rsid w:val="008620AC"/>
    <w:rsid w:val="009E3B79"/>
    <w:rsid w:val="00B41DDD"/>
    <w:rsid w:val="00B43086"/>
    <w:rsid w:val="00B62AE8"/>
    <w:rsid w:val="00B77A6C"/>
    <w:rsid w:val="00BC022B"/>
    <w:rsid w:val="00BE07A9"/>
    <w:rsid w:val="00C061F4"/>
    <w:rsid w:val="00C10865"/>
    <w:rsid w:val="00C37F07"/>
    <w:rsid w:val="00C461F4"/>
    <w:rsid w:val="00CB5306"/>
    <w:rsid w:val="00CB6956"/>
    <w:rsid w:val="00D10995"/>
    <w:rsid w:val="00D21666"/>
    <w:rsid w:val="00D37D35"/>
    <w:rsid w:val="00D7713D"/>
    <w:rsid w:val="00E32DBD"/>
    <w:rsid w:val="00E659AB"/>
    <w:rsid w:val="00E91138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B2E2"/>
  <w15:docId w15:val="{8DFCA34F-1855-43B6-9506-0122AFB1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F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FF7"/>
    <w:pPr>
      <w:tabs>
        <w:tab w:val="center" w:pos="4680"/>
        <w:tab w:val="right" w:pos="9360"/>
      </w:tabs>
      <w:spacing w:line="240" w:lineRule="auto"/>
      <w:jc w:val="center"/>
    </w:pPr>
    <w:rPr>
      <w:rFonts w:ascii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A2FF7"/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7A2FF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s4">
    <w:name w:val="x_s4"/>
    <w:basedOn w:val="Normal"/>
    <w:uiPriority w:val="99"/>
    <w:semiHidden/>
    <w:rsid w:val="00C461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s6">
    <w:name w:val="x_s6"/>
    <w:basedOn w:val="DefaultParagraphFont"/>
    <w:rsid w:val="00C461F4"/>
  </w:style>
  <w:style w:type="character" w:customStyle="1" w:styleId="xbumpedfont15">
    <w:name w:val="x_bumpedfont15"/>
    <w:basedOn w:val="DefaultParagraphFont"/>
    <w:rsid w:val="00C461F4"/>
  </w:style>
  <w:style w:type="paragraph" w:customStyle="1" w:styleId="xs40">
    <w:name w:val="xs4"/>
    <w:basedOn w:val="Normal"/>
    <w:uiPriority w:val="99"/>
    <w:rsid w:val="00C108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bumpedfont150">
    <w:name w:val="xbumpedfont15"/>
    <w:basedOn w:val="DefaultParagraphFont"/>
    <w:rsid w:val="00C10865"/>
  </w:style>
  <w:style w:type="paragraph" w:styleId="Footer">
    <w:name w:val="footer"/>
    <w:basedOn w:val="Normal"/>
    <w:link w:val="FooterChar"/>
    <w:uiPriority w:val="99"/>
    <w:unhideWhenUsed/>
    <w:rsid w:val="001724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47B"/>
  </w:style>
  <w:style w:type="character" w:customStyle="1" w:styleId="xs60">
    <w:name w:val="xs6"/>
    <w:basedOn w:val="DefaultParagraphFont"/>
    <w:rsid w:val="0017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692A-C592-4BB6-8BC2-4CB2039C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Mike Bjorklund</cp:lastModifiedBy>
  <cp:revision>4</cp:revision>
  <cp:lastPrinted>2017-05-11T13:56:00Z</cp:lastPrinted>
  <dcterms:created xsi:type="dcterms:W3CDTF">2017-06-14T14:18:00Z</dcterms:created>
  <dcterms:modified xsi:type="dcterms:W3CDTF">2017-06-15T12:42:00Z</dcterms:modified>
</cp:coreProperties>
</file>