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6A1" w:rsidRDefault="001C06A1" w:rsidP="00F8449D">
      <w:pPr>
        <w:spacing w:after="0" w:line="240" w:lineRule="auto"/>
        <w:jc w:val="center"/>
        <w:rPr>
          <w:b/>
          <w:sz w:val="40"/>
          <w:szCs w:val="40"/>
        </w:rPr>
      </w:pPr>
      <w:r>
        <w:rPr>
          <w:b/>
          <w:sz w:val="40"/>
          <w:szCs w:val="40"/>
        </w:rPr>
        <w:t xml:space="preserve">Amendments to </w:t>
      </w:r>
      <w:r w:rsidR="00546335" w:rsidRPr="00EA017A">
        <w:rPr>
          <w:b/>
          <w:sz w:val="40"/>
          <w:szCs w:val="40"/>
        </w:rPr>
        <w:t>S. 20</w:t>
      </w:r>
      <w:r w:rsidR="00DB5FBA">
        <w:rPr>
          <w:b/>
          <w:sz w:val="40"/>
          <w:szCs w:val="40"/>
        </w:rPr>
        <w:t>1</w:t>
      </w:r>
      <w:r>
        <w:rPr>
          <w:b/>
          <w:sz w:val="40"/>
          <w:szCs w:val="40"/>
        </w:rPr>
        <w:t>2</w:t>
      </w:r>
    </w:p>
    <w:p w:rsidR="00546335" w:rsidRDefault="001C06A1" w:rsidP="00F8449D">
      <w:pPr>
        <w:spacing w:after="0" w:line="240" w:lineRule="auto"/>
        <w:jc w:val="center"/>
        <w:rPr>
          <w:b/>
          <w:sz w:val="40"/>
          <w:szCs w:val="40"/>
        </w:rPr>
      </w:pPr>
      <w:r>
        <w:rPr>
          <w:b/>
          <w:sz w:val="40"/>
          <w:szCs w:val="40"/>
        </w:rPr>
        <w:t xml:space="preserve">The </w:t>
      </w:r>
      <w:r w:rsidR="00546335" w:rsidRPr="00EA017A">
        <w:rPr>
          <w:b/>
          <w:sz w:val="40"/>
          <w:szCs w:val="40"/>
        </w:rPr>
        <w:t>Energy Policy Modernization Act</w:t>
      </w:r>
      <w:r w:rsidR="00DB5FBA">
        <w:rPr>
          <w:b/>
          <w:sz w:val="40"/>
          <w:szCs w:val="40"/>
        </w:rPr>
        <w:t xml:space="preserve"> of 2015</w:t>
      </w:r>
    </w:p>
    <w:p w:rsidR="001C06A1" w:rsidRPr="00EA017A" w:rsidRDefault="001C06A1" w:rsidP="00F8449D">
      <w:pPr>
        <w:spacing w:after="0" w:line="240" w:lineRule="auto"/>
        <w:jc w:val="center"/>
        <w:rPr>
          <w:b/>
          <w:sz w:val="40"/>
          <w:szCs w:val="40"/>
        </w:rPr>
      </w:pPr>
      <w:r w:rsidRPr="001C06A1">
        <w:rPr>
          <w:b/>
          <w:sz w:val="28"/>
          <w:szCs w:val="40"/>
        </w:rPr>
        <w:t>(Noon, January 25 Version)</w:t>
      </w:r>
    </w:p>
    <w:p w:rsidR="00DB5FBA" w:rsidRPr="00317AD3" w:rsidRDefault="00DB5FBA" w:rsidP="00546335">
      <w:pPr>
        <w:spacing w:after="0" w:line="240" w:lineRule="auto"/>
        <w:rPr>
          <w:sz w:val="44"/>
          <w:szCs w:val="44"/>
        </w:rPr>
      </w:pPr>
    </w:p>
    <w:p w:rsidR="00005958" w:rsidRPr="001C06A1" w:rsidRDefault="00005958" w:rsidP="00005958">
      <w:pPr>
        <w:spacing w:after="0" w:line="240" w:lineRule="auto"/>
        <w:jc w:val="center"/>
        <w:rPr>
          <w:b/>
          <w:sz w:val="28"/>
          <w:szCs w:val="24"/>
          <w:u w:val="single"/>
        </w:rPr>
      </w:pPr>
      <w:r w:rsidRPr="001C06A1">
        <w:rPr>
          <w:b/>
          <w:sz w:val="28"/>
          <w:szCs w:val="24"/>
          <w:u w:val="single"/>
        </w:rPr>
        <w:t>Amendments NRECA Supports</w:t>
      </w:r>
    </w:p>
    <w:p w:rsidR="00005958" w:rsidRPr="001C06A1" w:rsidRDefault="00005958" w:rsidP="00005958">
      <w:pPr>
        <w:spacing w:after="0" w:line="240" w:lineRule="auto"/>
        <w:rPr>
          <w:sz w:val="28"/>
          <w:szCs w:val="24"/>
        </w:rPr>
      </w:pPr>
    </w:p>
    <w:p w:rsidR="00005958" w:rsidRPr="001C06A1" w:rsidRDefault="00005958" w:rsidP="00005958">
      <w:pPr>
        <w:pStyle w:val="ListParagraph"/>
        <w:numPr>
          <w:ilvl w:val="0"/>
          <w:numId w:val="8"/>
        </w:numPr>
        <w:spacing w:after="0" w:line="240" w:lineRule="auto"/>
        <w:ind w:left="360"/>
        <w:rPr>
          <w:rFonts w:eastAsia="Calibri"/>
          <w:sz w:val="28"/>
          <w:szCs w:val="24"/>
        </w:rPr>
      </w:pPr>
      <w:r w:rsidRPr="001C06A1">
        <w:rPr>
          <w:sz w:val="28"/>
          <w:szCs w:val="24"/>
          <w:u w:val="single"/>
        </w:rPr>
        <w:t>Murkowski Managers Amendment</w:t>
      </w:r>
      <w:r w:rsidRPr="001C06A1">
        <w:rPr>
          <w:sz w:val="28"/>
          <w:szCs w:val="24"/>
        </w:rPr>
        <w:t xml:space="preserve"> (Reliability Impact Statement)—The amendment would establish that the North American Electric Reliability Corporation (NERC) is responsible for </w:t>
      </w:r>
      <w:r w:rsidRPr="001C06A1">
        <w:rPr>
          <w:rFonts w:eastAsia="Calibri"/>
          <w:sz w:val="28"/>
          <w:szCs w:val="24"/>
        </w:rPr>
        <w:t>drafting  an independent reliability analysis regarding a proposed major rule that may significantly affect the operation of the bulk-power system.</w:t>
      </w:r>
    </w:p>
    <w:p w:rsidR="00005958" w:rsidRPr="001C06A1" w:rsidRDefault="00005958" w:rsidP="00005958">
      <w:pPr>
        <w:spacing w:after="0" w:line="240" w:lineRule="auto"/>
        <w:rPr>
          <w:rFonts w:eastAsia="Calibri"/>
          <w:sz w:val="28"/>
          <w:szCs w:val="24"/>
        </w:rPr>
      </w:pPr>
    </w:p>
    <w:p w:rsidR="00005958" w:rsidRPr="001C06A1" w:rsidRDefault="00005958" w:rsidP="00005958">
      <w:pPr>
        <w:pStyle w:val="ListParagraph"/>
        <w:numPr>
          <w:ilvl w:val="0"/>
          <w:numId w:val="8"/>
        </w:numPr>
        <w:spacing w:after="0" w:line="240" w:lineRule="auto"/>
        <w:ind w:left="360"/>
        <w:rPr>
          <w:rFonts w:eastAsia="Calibri"/>
          <w:sz w:val="28"/>
          <w:szCs w:val="24"/>
        </w:rPr>
      </w:pPr>
      <w:proofErr w:type="spellStart"/>
      <w:r w:rsidRPr="001C06A1">
        <w:rPr>
          <w:rFonts w:eastAsia="Calibri"/>
          <w:sz w:val="28"/>
          <w:szCs w:val="24"/>
          <w:u w:val="single"/>
        </w:rPr>
        <w:t>Hoeven</w:t>
      </w:r>
      <w:proofErr w:type="spellEnd"/>
      <w:r w:rsidRPr="001C06A1">
        <w:rPr>
          <w:rFonts w:eastAsia="Calibri"/>
          <w:sz w:val="28"/>
          <w:szCs w:val="24"/>
          <w:u w:val="single"/>
        </w:rPr>
        <w:t xml:space="preserve"> Amendment (Coal Ash)</w:t>
      </w:r>
      <w:r w:rsidRPr="001C06A1">
        <w:rPr>
          <w:rFonts w:eastAsia="Calibri"/>
          <w:sz w:val="28"/>
          <w:szCs w:val="24"/>
        </w:rPr>
        <w:t xml:space="preserve"> – The amendment would provide authority for states to create and administer permit programs for the non-hazardous regulation of coal ash structures, a model consistent with existing environmental regulations.  The amendment would also ensure certainty of permanent non-hazardous treatment to promote the continued beneficial re-use of coal ash. </w:t>
      </w:r>
    </w:p>
    <w:p w:rsidR="00005958" w:rsidRPr="001C06A1" w:rsidRDefault="00005958" w:rsidP="00005958">
      <w:pPr>
        <w:spacing w:after="0" w:line="240" w:lineRule="auto"/>
        <w:rPr>
          <w:rFonts w:eastAsia="Calibri"/>
          <w:sz w:val="28"/>
          <w:szCs w:val="24"/>
        </w:rPr>
      </w:pPr>
    </w:p>
    <w:p w:rsidR="00005958" w:rsidRPr="001C06A1" w:rsidRDefault="00005958" w:rsidP="00005958">
      <w:pPr>
        <w:pStyle w:val="ListParagraph"/>
        <w:numPr>
          <w:ilvl w:val="0"/>
          <w:numId w:val="8"/>
        </w:numPr>
        <w:spacing w:after="0" w:line="240" w:lineRule="auto"/>
        <w:ind w:left="360"/>
        <w:rPr>
          <w:rFonts w:eastAsia="Calibri"/>
          <w:sz w:val="28"/>
          <w:szCs w:val="24"/>
        </w:rPr>
      </w:pPr>
      <w:r w:rsidRPr="001C06A1">
        <w:rPr>
          <w:rFonts w:eastAsia="Calibri"/>
          <w:sz w:val="28"/>
          <w:szCs w:val="24"/>
          <w:u w:val="single"/>
        </w:rPr>
        <w:t>Franken Amendment (Captive Shippers)</w:t>
      </w:r>
      <w:r w:rsidRPr="001C06A1">
        <w:rPr>
          <w:rFonts w:eastAsia="Calibri"/>
          <w:sz w:val="28"/>
          <w:szCs w:val="24"/>
        </w:rPr>
        <w:t xml:space="preserve"> – The amendment would authorize the Department of Energy to coordinate efforts with federal agencies and other stakeholders to maintain an adequate supply of coal for purposes of electric utility reliability during fuel supply emergencies.</w:t>
      </w:r>
    </w:p>
    <w:p w:rsidR="00005958" w:rsidRPr="001C06A1" w:rsidRDefault="00005958" w:rsidP="00005958">
      <w:pPr>
        <w:spacing w:after="0" w:line="240" w:lineRule="auto"/>
        <w:rPr>
          <w:rFonts w:eastAsia="Calibri"/>
          <w:sz w:val="28"/>
          <w:szCs w:val="24"/>
          <w:u w:val="single"/>
        </w:rPr>
      </w:pPr>
    </w:p>
    <w:p w:rsidR="00005958" w:rsidRPr="001C06A1" w:rsidRDefault="00005958" w:rsidP="00005958">
      <w:pPr>
        <w:pStyle w:val="ListParagraph"/>
        <w:numPr>
          <w:ilvl w:val="0"/>
          <w:numId w:val="8"/>
        </w:numPr>
        <w:spacing w:after="0" w:line="240" w:lineRule="auto"/>
        <w:ind w:left="360"/>
        <w:rPr>
          <w:rFonts w:eastAsia="Calibri"/>
          <w:sz w:val="28"/>
          <w:szCs w:val="24"/>
        </w:rPr>
      </w:pPr>
      <w:r w:rsidRPr="001C06A1">
        <w:rPr>
          <w:rFonts w:eastAsia="Calibri"/>
          <w:sz w:val="28"/>
          <w:szCs w:val="24"/>
          <w:u w:val="single"/>
        </w:rPr>
        <w:t>Flake Amendment (WAPA Transparency)</w:t>
      </w:r>
      <w:r w:rsidRPr="001C06A1">
        <w:rPr>
          <w:rFonts w:eastAsia="Calibri"/>
          <w:sz w:val="28"/>
          <w:szCs w:val="24"/>
        </w:rPr>
        <w:t xml:space="preserve"> – The amendment would establish a pilot program focused on increased transparency of the operations of the Western Area Power Administration.  The pilot program would require WAPA to publish on its website various data points about power and transmission rates, overhead costs, and capital expenditures.</w:t>
      </w:r>
      <w:r w:rsidRPr="001C06A1" w:rsidDel="003C2508">
        <w:rPr>
          <w:rFonts w:eastAsia="Calibri"/>
          <w:sz w:val="28"/>
          <w:szCs w:val="24"/>
        </w:rPr>
        <w:t xml:space="preserve"> </w:t>
      </w:r>
    </w:p>
    <w:p w:rsidR="00005958" w:rsidRPr="001C06A1" w:rsidRDefault="00005958" w:rsidP="00005958">
      <w:pPr>
        <w:spacing w:after="0" w:line="240" w:lineRule="auto"/>
        <w:rPr>
          <w:rFonts w:eastAsia="Calibri"/>
          <w:sz w:val="28"/>
          <w:szCs w:val="24"/>
        </w:rPr>
      </w:pPr>
    </w:p>
    <w:p w:rsidR="00005958" w:rsidRDefault="00005958" w:rsidP="00005958">
      <w:pPr>
        <w:spacing w:after="0" w:line="240" w:lineRule="auto"/>
        <w:rPr>
          <w:rFonts w:eastAsia="Calibri"/>
          <w:b/>
          <w:sz w:val="28"/>
          <w:szCs w:val="24"/>
          <w:u w:val="single"/>
        </w:rPr>
      </w:pPr>
    </w:p>
    <w:p w:rsidR="00546335" w:rsidRPr="001C06A1" w:rsidRDefault="00546335" w:rsidP="00546335">
      <w:pPr>
        <w:spacing w:after="0" w:line="240" w:lineRule="auto"/>
        <w:jc w:val="center"/>
        <w:rPr>
          <w:rFonts w:eastAsia="Calibri"/>
          <w:b/>
          <w:sz w:val="28"/>
          <w:szCs w:val="24"/>
          <w:u w:val="single"/>
        </w:rPr>
      </w:pPr>
      <w:r w:rsidRPr="001C06A1">
        <w:rPr>
          <w:rFonts w:eastAsia="Calibri"/>
          <w:b/>
          <w:sz w:val="28"/>
          <w:szCs w:val="24"/>
          <w:u w:val="single"/>
        </w:rPr>
        <w:t>Amendments NRECA Opposes</w:t>
      </w:r>
    </w:p>
    <w:p w:rsidR="00546335" w:rsidRPr="001C06A1" w:rsidRDefault="00546335" w:rsidP="00546335">
      <w:pPr>
        <w:spacing w:after="0" w:line="240" w:lineRule="auto"/>
        <w:rPr>
          <w:rFonts w:eastAsia="Calibri"/>
          <w:sz w:val="28"/>
          <w:szCs w:val="24"/>
        </w:rPr>
      </w:pPr>
    </w:p>
    <w:p w:rsidR="00DB5FBA" w:rsidRPr="001C06A1" w:rsidRDefault="00DB5FBA" w:rsidP="001C06A1">
      <w:pPr>
        <w:pStyle w:val="ListParagraph"/>
        <w:numPr>
          <w:ilvl w:val="0"/>
          <w:numId w:val="7"/>
        </w:numPr>
        <w:spacing w:after="0" w:line="240" w:lineRule="auto"/>
        <w:ind w:left="360"/>
        <w:rPr>
          <w:rFonts w:eastAsia="Calibri"/>
          <w:sz w:val="28"/>
          <w:szCs w:val="24"/>
        </w:rPr>
      </w:pPr>
      <w:r w:rsidRPr="001C06A1">
        <w:rPr>
          <w:rFonts w:eastAsia="Calibri"/>
          <w:sz w:val="28"/>
          <w:szCs w:val="24"/>
          <w:u w:val="single"/>
        </w:rPr>
        <w:t>King Amendment</w:t>
      </w:r>
      <w:r w:rsidRPr="001C06A1">
        <w:rPr>
          <w:rFonts w:eastAsia="Calibri"/>
          <w:sz w:val="28"/>
          <w:szCs w:val="24"/>
        </w:rPr>
        <w:t xml:space="preserve"> (Distributed Energy Resources) – The amendment would require the consideration of an interconnection standard for distributed energy resources.</w:t>
      </w:r>
    </w:p>
    <w:p w:rsidR="00DB5FBA" w:rsidRPr="001C06A1" w:rsidRDefault="00DB5FBA" w:rsidP="001C06A1">
      <w:pPr>
        <w:spacing w:after="0" w:line="240" w:lineRule="auto"/>
        <w:rPr>
          <w:rFonts w:eastAsia="Calibri"/>
          <w:sz w:val="28"/>
          <w:szCs w:val="24"/>
        </w:rPr>
      </w:pPr>
    </w:p>
    <w:p w:rsidR="00546335" w:rsidRPr="001C06A1" w:rsidRDefault="00546335" w:rsidP="001C06A1">
      <w:pPr>
        <w:pStyle w:val="ListParagraph"/>
        <w:numPr>
          <w:ilvl w:val="0"/>
          <w:numId w:val="7"/>
        </w:numPr>
        <w:spacing w:after="0" w:line="240" w:lineRule="auto"/>
        <w:ind w:left="360"/>
        <w:rPr>
          <w:rFonts w:eastAsia="Calibri"/>
          <w:sz w:val="28"/>
          <w:szCs w:val="24"/>
        </w:rPr>
      </w:pPr>
      <w:r w:rsidRPr="001C06A1">
        <w:rPr>
          <w:rFonts w:eastAsia="Calibri"/>
          <w:sz w:val="28"/>
          <w:szCs w:val="24"/>
          <w:u w:val="single"/>
        </w:rPr>
        <w:t>Heinrich Amendment</w:t>
      </w:r>
      <w:r w:rsidRPr="001C06A1">
        <w:rPr>
          <w:rFonts w:eastAsia="Calibri"/>
          <w:sz w:val="28"/>
          <w:szCs w:val="24"/>
        </w:rPr>
        <w:t xml:space="preserve"> (Community Solar Facilities) – The amendment would require the consideration of an interconnection standard for community solar facilities.</w:t>
      </w:r>
    </w:p>
    <w:p w:rsidR="00546335" w:rsidRPr="001C06A1" w:rsidRDefault="00546335" w:rsidP="001C06A1">
      <w:pPr>
        <w:spacing w:after="0" w:line="240" w:lineRule="auto"/>
        <w:rPr>
          <w:rFonts w:eastAsia="Calibri"/>
          <w:sz w:val="28"/>
          <w:szCs w:val="24"/>
        </w:rPr>
      </w:pPr>
    </w:p>
    <w:p w:rsidR="00DB5FBA" w:rsidRPr="001C06A1" w:rsidRDefault="00DB5FBA" w:rsidP="001C06A1">
      <w:pPr>
        <w:pStyle w:val="ListParagraph"/>
        <w:numPr>
          <w:ilvl w:val="0"/>
          <w:numId w:val="7"/>
        </w:numPr>
        <w:spacing w:after="0" w:line="240" w:lineRule="auto"/>
        <w:ind w:left="360"/>
        <w:rPr>
          <w:rFonts w:eastAsia="Calibri"/>
          <w:sz w:val="28"/>
          <w:szCs w:val="24"/>
        </w:rPr>
      </w:pPr>
      <w:r w:rsidRPr="001C06A1">
        <w:rPr>
          <w:rFonts w:eastAsia="Calibri"/>
          <w:sz w:val="28"/>
          <w:szCs w:val="24"/>
          <w:u w:val="single"/>
        </w:rPr>
        <w:t>Johnson Amendment</w:t>
      </w:r>
      <w:r w:rsidRPr="001C06A1">
        <w:rPr>
          <w:rFonts w:eastAsia="Calibri"/>
          <w:sz w:val="28"/>
          <w:szCs w:val="24"/>
        </w:rPr>
        <w:t xml:space="preserve"> (Grid Vulnerabilities and Electromagnetic Pulses) – There are rumors that Senator Johnson is considering an amendment regarding the threat of electrometric pulses (EMP) to the electric grid.  An EMP amendment could undermine the electric reliability standards role or process.</w:t>
      </w:r>
    </w:p>
    <w:p w:rsidR="00DB5FBA" w:rsidRPr="001C06A1" w:rsidRDefault="00DB5FBA" w:rsidP="001C06A1">
      <w:pPr>
        <w:spacing w:after="0" w:line="240" w:lineRule="auto"/>
        <w:rPr>
          <w:rFonts w:eastAsia="Calibri"/>
          <w:sz w:val="28"/>
          <w:szCs w:val="24"/>
        </w:rPr>
      </w:pPr>
    </w:p>
    <w:p w:rsidR="00546335" w:rsidRPr="001C06A1" w:rsidRDefault="00546335" w:rsidP="001C06A1">
      <w:pPr>
        <w:pStyle w:val="ListParagraph"/>
        <w:numPr>
          <w:ilvl w:val="0"/>
          <w:numId w:val="7"/>
        </w:numPr>
        <w:spacing w:after="0" w:line="240" w:lineRule="auto"/>
        <w:ind w:left="360"/>
        <w:rPr>
          <w:rFonts w:eastAsia="Calibri"/>
          <w:sz w:val="28"/>
          <w:szCs w:val="24"/>
        </w:rPr>
      </w:pPr>
      <w:r w:rsidRPr="001C06A1">
        <w:rPr>
          <w:rFonts w:eastAsia="Calibri"/>
          <w:sz w:val="28"/>
          <w:szCs w:val="24"/>
          <w:u w:val="single"/>
        </w:rPr>
        <w:t>Franken Amendment</w:t>
      </w:r>
      <w:r w:rsidRPr="001C06A1">
        <w:rPr>
          <w:rFonts w:eastAsia="Calibri"/>
          <w:sz w:val="28"/>
          <w:szCs w:val="24"/>
        </w:rPr>
        <w:t xml:space="preserve"> (Energy Efficiency Mandate) – The amendment would establish an energy efficiency mandate requiring a retail electricity supplier to attain 20% in savings by 2030.</w:t>
      </w:r>
    </w:p>
    <w:p w:rsidR="00546335" w:rsidRPr="001C06A1" w:rsidRDefault="00546335" w:rsidP="001C06A1">
      <w:pPr>
        <w:spacing w:after="0" w:line="240" w:lineRule="auto"/>
        <w:rPr>
          <w:rFonts w:eastAsia="Calibri"/>
          <w:sz w:val="28"/>
          <w:szCs w:val="24"/>
        </w:rPr>
      </w:pPr>
    </w:p>
    <w:p w:rsidR="00546335" w:rsidRPr="001C06A1" w:rsidRDefault="00546335" w:rsidP="001C06A1">
      <w:pPr>
        <w:pStyle w:val="ListParagraph"/>
        <w:numPr>
          <w:ilvl w:val="0"/>
          <w:numId w:val="7"/>
        </w:numPr>
        <w:spacing w:after="0" w:line="240" w:lineRule="auto"/>
        <w:ind w:left="360"/>
        <w:rPr>
          <w:rFonts w:eastAsia="Calibri"/>
          <w:sz w:val="28"/>
          <w:szCs w:val="24"/>
        </w:rPr>
      </w:pPr>
      <w:r w:rsidRPr="001C06A1">
        <w:rPr>
          <w:rFonts w:eastAsia="Calibri"/>
          <w:sz w:val="28"/>
          <w:szCs w:val="24"/>
          <w:u w:val="single"/>
        </w:rPr>
        <w:t>Whitehouse Amendment</w:t>
      </w:r>
      <w:r w:rsidRPr="001C06A1">
        <w:rPr>
          <w:rFonts w:eastAsia="Calibri"/>
          <w:sz w:val="28"/>
          <w:szCs w:val="24"/>
        </w:rPr>
        <w:t xml:space="preserve"> (Eliminate Fossil-Fuel Generated Electricity for Federal Buildings) – The amendment would reinstate a statutory mandate involving new Federal buildings and existing Federal buildings where at least $2.5 billion in refurbishments </w:t>
      </w:r>
      <w:r w:rsidR="00F07917" w:rsidRPr="001C06A1">
        <w:rPr>
          <w:rFonts w:eastAsia="Calibri"/>
          <w:sz w:val="28"/>
          <w:szCs w:val="24"/>
        </w:rPr>
        <w:t xml:space="preserve">has </w:t>
      </w:r>
      <w:r w:rsidRPr="001C06A1">
        <w:rPr>
          <w:rFonts w:eastAsia="Calibri"/>
          <w:sz w:val="28"/>
          <w:szCs w:val="24"/>
        </w:rPr>
        <w:t xml:space="preserve">occurred.  The mandate requires that these Federal buildings end their use of fossil-fuel generated electricity by 2030.    </w:t>
      </w:r>
    </w:p>
    <w:p w:rsidR="00546335" w:rsidRPr="001C06A1" w:rsidRDefault="00546335" w:rsidP="001C06A1">
      <w:pPr>
        <w:spacing w:after="0" w:line="240" w:lineRule="auto"/>
        <w:rPr>
          <w:rFonts w:eastAsia="Calibri"/>
          <w:sz w:val="28"/>
          <w:szCs w:val="24"/>
        </w:rPr>
      </w:pPr>
    </w:p>
    <w:p w:rsidR="00546335" w:rsidRPr="001C06A1" w:rsidRDefault="00546335" w:rsidP="001C06A1">
      <w:pPr>
        <w:pStyle w:val="ListParagraph"/>
        <w:numPr>
          <w:ilvl w:val="0"/>
          <w:numId w:val="7"/>
        </w:numPr>
        <w:spacing w:after="0" w:line="240" w:lineRule="auto"/>
        <w:ind w:left="360"/>
        <w:rPr>
          <w:rFonts w:eastAsia="Calibri"/>
          <w:sz w:val="28"/>
          <w:szCs w:val="24"/>
        </w:rPr>
      </w:pPr>
      <w:r w:rsidRPr="001C06A1">
        <w:rPr>
          <w:rFonts w:eastAsia="Calibri"/>
          <w:sz w:val="28"/>
          <w:szCs w:val="24"/>
          <w:u w:val="single"/>
        </w:rPr>
        <w:t>King Amendment</w:t>
      </w:r>
      <w:r w:rsidRPr="001C06A1">
        <w:rPr>
          <w:rFonts w:eastAsia="Calibri"/>
          <w:sz w:val="28"/>
          <w:szCs w:val="24"/>
        </w:rPr>
        <w:t xml:space="preserve"> (Net Metering Study) – The amendment would require the Department of Energy to issue model guidance on criteria to be included in net metering studies and to prepare a net metering study.</w:t>
      </w:r>
    </w:p>
    <w:p w:rsidR="00546335" w:rsidRPr="001C06A1" w:rsidRDefault="00546335" w:rsidP="001C06A1">
      <w:pPr>
        <w:spacing w:after="0" w:line="240" w:lineRule="auto"/>
        <w:rPr>
          <w:rFonts w:eastAsia="Calibri"/>
          <w:sz w:val="28"/>
          <w:szCs w:val="24"/>
        </w:rPr>
      </w:pPr>
    </w:p>
    <w:p w:rsidR="00546335" w:rsidRPr="001C06A1" w:rsidRDefault="00546335" w:rsidP="001C06A1">
      <w:pPr>
        <w:pStyle w:val="ListParagraph"/>
        <w:numPr>
          <w:ilvl w:val="0"/>
          <w:numId w:val="7"/>
        </w:numPr>
        <w:spacing w:after="0" w:line="240" w:lineRule="auto"/>
        <w:ind w:left="360"/>
        <w:rPr>
          <w:rFonts w:eastAsia="Calibri"/>
          <w:sz w:val="28"/>
          <w:szCs w:val="24"/>
        </w:rPr>
      </w:pPr>
      <w:r w:rsidRPr="001C06A1">
        <w:rPr>
          <w:rFonts w:eastAsia="Calibri"/>
          <w:sz w:val="28"/>
          <w:szCs w:val="24"/>
          <w:u w:val="single"/>
        </w:rPr>
        <w:t>Sanders Amendment</w:t>
      </w:r>
      <w:r w:rsidRPr="001C06A1">
        <w:rPr>
          <w:rFonts w:eastAsia="Calibri"/>
          <w:sz w:val="28"/>
          <w:szCs w:val="24"/>
        </w:rPr>
        <w:t xml:space="preserve"> (Community Solar Facilities) – The amendment would establish a loan program for the deployment of community solar facilities.</w:t>
      </w:r>
    </w:p>
    <w:p w:rsidR="00546335" w:rsidRPr="001C06A1" w:rsidRDefault="00546335" w:rsidP="001C06A1">
      <w:pPr>
        <w:spacing w:after="0" w:line="240" w:lineRule="auto"/>
        <w:rPr>
          <w:rFonts w:eastAsia="Calibri"/>
          <w:sz w:val="28"/>
          <w:szCs w:val="24"/>
        </w:rPr>
      </w:pPr>
    </w:p>
    <w:p w:rsidR="00546335" w:rsidRPr="001C06A1" w:rsidRDefault="00546335" w:rsidP="001C06A1">
      <w:pPr>
        <w:pStyle w:val="ListParagraph"/>
        <w:numPr>
          <w:ilvl w:val="0"/>
          <w:numId w:val="7"/>
        </w:numPr>
        <w:spacing w:after="0" w:line="240" w:lineRule="auto"/>
        <w:ind w:left="360"/>
        <w:rPr>
          <w:rFonts w:eastAsia="Calibri"/>
          <w:sz w:val="28"/>
          <w:szCs w:val="24"/>
        </w:rPr>
      </w:pPr>
      <w:r w:rsidRPr="001C06A1">
        <w:rPr>
          <w:rFonts w:eastAsia="Calibri"/>
          <w:sz w:val="28"/>
          <w:szCs w:val="24"/>
          <w:u w:val="single"/>
        </w:rPr>
        <w:t>Sanders Amendment</w:t>
      </w:r>
      <w:r w:rsidRPr="001C06A1">
        <w:rPr>
          <w:rFonts w:eastAsia="Calibri"/>
          <w:sz w:val="28"/>
          <w:szCs w:val="24"/>
        </w:rPr>
        <w:t xml:space="preserve"> (Rebates for Rooftop Solar Systems) – The amendment would require the Department of Energy to establish a program to provide rebates for the purchase and installation of residential and commercial rooftop solar systems.</w:t>
      </w:r>
    </w:p>
    <w:p w:rsidR="00F8449D" w:rsidRPr="00005958" w:rsidRDefault="00F8449D" w:rsidP="00005958">
      <w:pPr>
        <w:spacing w:after="0" w:line="240" w:lineRule="auto"/>
        <w:rPr>
          <w:sz w:val="28"/>
          <w:szCs w:val="24"/>
        </w:rPr>
      </w:pPr>
      <w:bookmarkStart w:id="0" w:name="_GoBack"/>
      <w:bookmarkEnd w:id="0"/>
    </w:p>
    <w:p w:rsidR="00546335" w:rsidRPr="001C06A1" w:rsidRDefault="00546335" w:rsidP="00546335">
      <w:pPr>
        <w:spacing w:after="0" w:line="240" w:lineRule="auto"/>
        <w:rPr>
          <w:rFonts w:eastAsia="Calibri"/>
          <w:sz w:val="28"/>
          <w:szCs w:val="24"/>
        </w:rPr>
      </w:pPr>
    </w:p>
    <w:p w:rsidR="00546335" w:rsidRPr="001C06A1" w:rsidRDefault="00546335">
      <w:pPr>
        <w:rPr>
          <w:sz w:val="28"/>
          <w:szCs w:val="24"/>
        </w:rPr>
      </w:pPr>
    </w:p>
    <w:sectPr w:rsidR="00546335" w:rsidRPr="001C06A1" w:rsidSect="00FA0B1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6A1" w:rsidRDefault="001C06A1" w:rsidP="001C06A1">
      <w:pPr>
        <w:spacing w:after="0" w:line="240" w:lineRule="auto"/>
      </w:pPr>
      <w:r>
        <w:separator/>
      </w:r>
    </w:p>
  </w:endnote>
  <w:endnote w:type="continuationSeparator" w:id="0">
    <w:p w:rsidR="001C06A1" w:rsidRDefault="001C06A1" w:rsidP="001C0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222058"/>
      <w:docPartObj>
        <w:docPartGallery w:val="Page Numbers (Bottom of Page)"/>
        <w:docPartUnique/>
      </w:docPartObj>
    </w:sdtPr>
    <w:sdtEndPr/>
    <w:sdtContent>
      <w:sdt>
        <w:sdtPr>
          <w:id w:val="860082579"/>
          <w:docPartObj>
            <w:docPartGallery w:val="Page Numbers (Top of Page)"/>
            <w:docPartUnique/>
          </w:docPartObj>
        </w:sdtPr>
        <w:sdtEndPr/>
        <w:sdtContent>
          <w:p w:rsidR="001C06A1" w:rsidRDefault="001C06A1">
            <w:pPr>
              <w:pStyle w:val="Footer"/>
              <w:jc w:val="right"/>
            </w:pPr>
            <w:r>
              <w:t xml:space="preserve">  NRECA Amendment Summary (1/25 Noon) – S. 2012 – Page </w:t>
            </w:r>
            <w:r>
              <w:rPr>
                <w:b/>
                <w:bCs/>
                <w:sz w:val="24"/>
                <w:szCs w:val="24"/>
              </w:rPr>
              <w:fldChar w:fldCharType="begin"/>
            </w:r>
            <w:r>
              <w:rPr>
                <w:b/>
                <w:bCs/>
              </w:rPr>
              <w:instrText xml:space="preserve"> PAGE </w:instrText>
            </w:r>
            <w:r>
              <w:rPr>
                <w:b/>
                <w:bCs/>
                <w:sz w:val="24"/>
                <w:szCs w:val="24"/>
              </w:rPr>
              <w:fldChar w:fldCharType="separate"/>
            </w:r>
            <w:r w:rsidR="0000595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5958">
              <w:rPr>
                <w:b/>
                <w:bCs/>
                <w:noProof/>
              </w:rPr>
              <w:t>2</w:t>
            </w:r>
            <w:r>
              <w:rPr>
                <w:b/>
                <w:bCs/>
                <w:sz w:val="24"/>
                <w:szCs w:val="24"/>
              </w:rPr>
              <w:fldChar w:fldCharType="end"/>
            </w:r>
          </w:p>
        </w:sdtContent>
      </w:sdt>
    </w:sdtContent>
  </w:sdt>
  <w:p w:rsidR="001C06A1" w:rsidRDefault="001C06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6A1" w:rsidRDefault="001C06A1" w:rsidP="001C06A1">
      <w:pPr>
        <w:spacing w:after="0" w:line="240" w:lineRule="auto"/>
      </w:pPr>
      <w:r>
        <w:separator/>
      </w:r>
    </w:p>
  </w:footnote>
  <w:footnote w:type="continuationSeparator" w:id="0">
    <w:p w:rsidR="001C06A1" w:rsidRDefault="001C06A1" w:rsidP="001C06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E6ADD"/>
    <w:multiLevelType w:val="hybridMultilevel"/>
    <w:tmpl w:val="7CF2F304"/>
    <w:lvl w:ilvl="0" w:tplc="8A4E4F3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911B8"/>
    <w:multiLevelType w:val="hybridMultilevel"/>
    <w:tmpl w:val="CF36EF26"/>
    <w:lvl w:ilvl="0" w:tplc="8A4E4F3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4D4D9F"/>
    <w:multiLevelType w:val="hybridMultilevel"/>
    <w:tmpl w:val="71AE9890"/>
    <w:lvl w:ilvl="0" w:tplc="8A4E4F3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3C7552"/>
    <w:multiLevelType w:val="hybridMultilevel"/>
    <w:tmpl w:val="2D464D84"/>
    <w:lvl w:ilvl="0" w:tplc="04090009">
      <w:start w:val="1"/>
      <w:numFmt w:val="bullet"/>
      <w:lvlText w:val=""/>
      <w:lvlJc w:val="left"/>
      <w:pPr>
        <w:ind w:left="720" w:hanging="360"/>
      </w:pPr>
      <w:rPr>
        <w:rFonts w:ascii="Wingdings" w:hAnsi="Wingding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D23C99"/>
    <w:multiLevelType w:val="hybridMultilevel"/>
    <w:tmpl w:val="32508E3E"/>
    <w:lvl w:ilvl="0" w:tplc="8A4E4F3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D33339B"/>
    <w:multiLevelType w:val="hybridMultilevel"/>
    <w:tmpl w:val="DC20583C"/>
    <w:lvl w:ilvl="0" w:tplc="8D8CB1E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394373"/>
    <w:multiLevelType w:val="hybridMultilevel"/>
    <w:tmpl w:val="CDA6FF6E"/>
    <w:lvl w:ilvl="0" w:tplc="8A4E4F3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392D96"/>
    <w:multiLevelType w:val="hybridMultilevel"/>
    <w:tmpl w:val="078E0E6A"/>
    <w:lvl w:ilvl="0" w:tplc="04090009">
      <w:start w:val="1"/>
      <w:numFmt w:val="bullet"/>
      <w:lvlText w:val=""/>
      <w:lvlJc w:val="left"/>
      <w:pPr>
        <w:ind w:left="1080" w:hanging="360"/>
      </w:pPr>
      <w:rPr>
        <w:rFonts w:ascii="Wingdings" w:hAnsi="Wingding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4"/>
  </w:num>
  <w:num w:numId="4">
    <w:abstractNumId w:val="6"/>
  </w:num>
  <w:num w:numId="5">
    <w:abstractNumId w:val="1"/>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22F"/>
    <w:rsid w:val="00005958"/>
    <w:rsid w:val="001C06A1"/>
    <w:rsid w:val="002D4D52"/>
    <w:rsid w:val="00546335"/>
    <w:rsid w:val="006527F1"/>
    <w:rsid w:val="00C9122F"/>
    <w:rsid w:val="00CA6570"/>
    <w:rsid w:val="00DB5FBA"/>
    <w:rsid w:val="00E42BCE"/>
    <w:rsid w:val="00F07917"/>
    <w:rsid w:val="00F409D1"/>
    <w:rsid w:val="00F8449D"/>
    <w:rsid w:val="00FA0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3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FBA"/>
    <w:pPr>
      <w:ind w:left="720"/>
      <w:contextualSpacing/>
    </w:pPr>
  </w:style>
  <w:style w:type="paragraph" w:styleId="Header">
    <w:name w:val="header"/>
    <w:basedOn w:val="Normal"/>
    <w:link w:val="HeaderChar"/>
    <w:uiPriority w:val="99"/>
    <w:unhideWhenUsed/>
    <w:rsid w:val="001C0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6A1"/>
  </w:style>
  <w:style w:type="paragraph" w:styleId="Footer">
    <w:name w:val="footer"/>
    <w:basedOn w:val="Normal"/>
    <w:link w:val="FooterChar"/>
    <w:uiPriority w:val="99"/>
    <w:unhideWhenUsed/>
    <w:rsid w:val="001C0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6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3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FBA"/>
    <w:pPr>
      <w:ind w:left="720"/>
      <w:contextualSpacing/>
    </w:pPr>
  </w:style>
  <w:style w:type="paragraph" w:styleId="Header">
    <w:name w:val="header"/>
    <w:basedOn w:val="Normal"/>
    <w:link w:val="HeaderChar"/>
    <w:uiPriority w:val="99"/>
    <w:unhideWhenUsed/>
    <w:rsid w:val="001C0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6A1"/>
  </w:style>
  <w:style w:type="paragraph" w:styleId="Footer">
    <w:name w:val="footer"/>
    <w:basedOn w:val="Normal"/>
    <w:link w:val="FooterChar"/>
    <w:uiPriority w:val="99"/>
    <w:unhideWhenUsed/>
    <w:rsid w:val="001C0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58304-945F-408B-A477-18B3DB2DA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Wynn, Montee M.</dc:creator>
  <cp:lastModifiedBy>Johnson, Kirk D.</cp:lastModifiedBy>
  <cp:revision>4</cp:revision>
  <cp:lastPrinted>2016-01-25T19:17:00Z</cp:lastPrinted>
  <dcterms:created xsi:type="dcterms:W3CDTF">2016-01-25T20:17:00Z</dcterms:created>
  <dcterms:modified xsi:type="dcterms:W3CDTF">2016-01-25T20:27:00Z</dcterms:modified>
</cp:coreProperties>
</file>