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drawings/drawing4.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rawings/drawing5.xml" ContentType="application/vnd.openxmlformats-officedocument.drawingml.chartshapes+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drawings/drawing6.xml" ContentType="application/vnd.openxmlformats-officedocument.drawingml.chartshapes+xml"/>
  <Override PartName="/word/charts/chart19.xml" ContentType="application/vnd.openxmlformats-officedocument.drawingml.chart+xml"/>
  <Override PartName="/word/charts/chart20.xml" ContentType="application/vnd.openxmlformats-officedocument.drawingml.chart+xml"/>
  <Override PartName="/word/drawings/drawing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34E7F" w14:textId="77777777" w:rsidR="00031EB6" w:rsidRDefault="00031EB6" w:rsidP="00234785">
      <w:pPr>
        <w:spacing w:line="240" w:lineRule="auto"/>
        <w:ind w:right="-360"/>
        <w:jc w:val="center"/>
        <w:rPr>
          <w:b/>
          <w:sz w:val="28"/>
        </w:rPr>
      </w:pPr>
      <w:bookmarkStart w:id="0" w:name="_GoBack"/>
      <w:bookmarkEnd w:id="0"/>
    </w:p>
    <w:p w14:paraId="61B73640" w14:textId="77777777" w:rsidR="0084501A" w:rsidRDefault="00477B30" w:rsidP="00234785">
      <w:pPr>
        <w:spacing w:line="240" w:lineRule="auto"/>
        <w:ind w:right="-360"/>
        <w:jc w:val="center"/>
        <w:rPr>
          <w:b/>
        </w:rPr>
      </w:pPr>
      <w:r w:rsidRPr="009630C9">
        <w:rPr>
          <w:b/>
          <w:sz w:val="28"/>
        </w:rPr>
        <w:t xml:space="preserve">Affordable Electricity: Rural America’s Economic </w:t>
      </w:r>
      <w:r w:rsidR="00A07B04">
        <w:rPr>
          <w:b/>
          <w:sz w:val="28"/>
        </w:rPr>
        <w:t>Lifeline</w:t>
      </w:r>
    </w:p>
    <w:p w14:paraId="4CA92677" w14:textId="77777777" w:rsidR="00234785" w:rsidRDefault="00234785" w:rsidP="009A42E2">
      <w:pPr>
        <w:spacing w:line="240" w:lineRule="auto"/>
        <w:rPr>
          <w:b/>
        </w:rPr>
      </w:pPr>
    </w:p>
    <w:p w14:paraId="10358EAE" w14:textId="77777777" w:rsidR="0084501A" w:rsidRDefault="00477B30" w:rsidP="009A42E2">
      <w:pPr>
        <w:spacing w:line="240" w:lineRule="auto"/>
        <w:rPr>
          <w:b/>
        </w:rPr>
      </w:pPr>
      <w:r w:rsidRPr="00477B30">
        <w:rPr>
          <w:b/>
        </w:rPr>
        <w:t>Summary</w:t>
      </w:r>
    </w:p>
    <w:p w14:paraId="71AF6ED1" w14:textId="6DF3F265" w:rsidR="000627BA" w:rsidRDefault="00235BEE" w:rsidP="002D3CE0">
      <w:pPr>
        <w:spacing w:after="200"/>
      </w:pPr>
      <w:r>
        <w:t>Affordable electricity is essential to economic growth in rural America.  Public policies</w:t>
      </w:r>
      <w:r w:rsidR="004671DD">
        <w:t xml:space="preserve">, </w:t>
      </w:r>
      <w:r>
        <w:t xml:space="preserve">programs </w:t>
      </w:r>
      <w:r w:rsidR="004671DD">
        <w:t xml:space="preserve">and other factors </w:t>
      </w:r>
      <w:r w:rsidR="00A07B04">
        <w:t xml:space="preserve">that </w:t>
      </w:r>
      <w:r w:rsidR="00883F4D">
        <w:t>increase</w:t>
      </w:r>
      <w:r w:rsidR="00A07B04">
        <w:t xml:space="preserve"> the </w:t>
      </w:r>
      <w:r w:rsidR="007F79FB">
        <w:t>price</w:t>
      </w:r>
      <w:r w:rsidR="00A07B04">
        <w:t xml:space="preserve"> of </w:t>
      </w:r>
      <w:r w:rsidR="007F79FB">
        <w:t xml:space="preserve">electricity </w:t>
      </w:r>
      <w:r w:rsidR="00883F4D">
        <w:t xml:space="preserve">even a small amount </w:t>
      </w:r>
      <w:r w:rsidR="007F79FB">
        <w:t xml:space="preserve">impair economic growth and job creation.  </w:t>
      </w:r>
      <w:r w:rsidR="0016271D">
        <w:t>This study measures the impact of a 10</w:t>
      </w:r>
      <w:r w:rsidR="001E18EF">
        <w:t>%</w:t>
      </w:r>
      <w:r w:rsidR="0016271D">
        <w:t xml:space="preserve"> and 25</w:t>
      </w:r>
      <w:r w:rsidR="001E18EF">
        <w:t>%</w:t>
      </w:r>
      <w:r w:rsidR="0016271D">
        <w:t xml:space="preserve"> electricity price increase in terms of</w:t>
      </w:r>
      <w:r w:rsidR="00C43E68">
        <w:t xml:space="preserve"> lost jobs and gross domestic product (GDP)</w:t>
      </w:r>
      <w:r w:rsidR="0016271D">
        <w:t>. It</w:t>
      </w:r>
      <w:r w:rsidR="003F6FD4">
        <w:t xml:space="preserve"> </w:t>
      </w:r>
      <w:r w:rsidR="00E67C26">
        <w:t>examines</w:t>
      </w:r>
      <w:r w:rsidR="00883F4D">
        <w:t xml:space="preserve"> </w:t>
      </w:r>
      <w:r w:rsidR="003F6FD4">
        <w:t xml:space="preserve">the </w:t>
      </w:r>
      <w:r w:rsidR="00883F4D">
        <w:t xml:space="preserve">entire </w:t>
      </w:r>
      <w:r w:rsidR="003F6FD4">
        <w:t xml:space="preserve">U.S. economy </w:t>
      </w:r>
      <w:r w:rsidR="00883F4D">
        <w:t xml:space="preserve">and the area </w:t>
      </w:r>
      <w:r w:rsidR="00083CF7">
        <w:t xml:space="preserve">served by </w:t>
      </w:r>
      <w:r w:rsidR="00883F4D">
        <w:t xml:space="preserve">America’s not-for-profit </w:t>
      </w:r>
      <w:r w:rsidR="00083CF7">
        <w:t>electric cooperatives</w:t>
      </w:r>
      <w:r w:rsidR="0081709D">
        <w:t>, labeled as</w:t>
      </w:r>
      <w:r w:rsidR="000627BA">
        <w:t xml:space="preserve"> </w:t>
      </w:r>
      <w:r w:rsidR="00F07A15">
        <w:t xml:space="preserve">Co-op </w:t>
      </w:r>
      <w:r w:rsidR="000627BA">
        <w:t>N</w:t>
      </w:r>
      <w:r w:rsidR="00F07A15">
        <w:t>ation and vicinity</w:t>
      </w:r>
      <w:r w:rsidR="00883F4D">
        <w:t>.</w:t>
      </w:r>
      <w:r w:rsidR="00083CF7">
        <w:t xml:space="preserve"> </w:t>
      </w:r>
      <w:r w:rsidR="00883F4D">
        <w:t xml:space="preserve"> </w:t>
      </w:r>
    </w:p>
    <w:p w14:paraId="723B3E4F" w14:textId="77777777" w:rsidR="000627BA" w:rsidRDefault="00883F4D" w:rsidP="002D3CE0">
      <w:pPr>
        <w:spacing w:after="200"/>
      </w:pPr>
      <w:r>
        <w:t xml:space="preserve">Electric cooperatives serve 42 million Americans in 47 states.  Electric co-ops are owned by the members that they serve, and own and maintain nearly 75% of the nation’s electric distribution lines. </w:t>
      </w:r>
      <w:r w:rsidR="00A81BF4">
        <w:t>The economic health of e</w:t>
      </w:r>
      <w:r w:rsidR="000627BA">
        <w:t xml:space="preserve">lectric cooperative service areas are tightly integrated with </w:t>
      </w:r>
      <w:r w:rsidR="008B3D06">
        <w:t xml:space="preserve">their </w:t>
      </w:r>
      <w:r w:rsidR="00A81BF4">
        <w:t xml:space="preserve">surrounding towns and communities.  </w:t>
      </w:r>
      <w:r w:rsidR="000627BA">
        <w:t>The economy of Co-op Nation and vicinity accounts for this interrelationship</w:t>
      </w:r>
      <w:r w:rsidR="001E18EF">
        <w:t xml:space="preserve"> by including all</w:t>
      </w:r>
      <w:r w:rsidR="001E18EF" w:rsidRPr="001E18EF">
        <w:t xml:space="preserve"> </w:t>
      </w:r>
      <w:r w:rsidR="001E18EF">
        <w:t>U.S. counties where at least 10% of households are members of electric co-ops.</w:t>
      </w:r>
    </w:p>
    <w:p w14:paraId="65D25C9A" w14:textId="77777777" w:rsidR="002D3CE0" w:rsidRDefault="00A601F8" w:rsidP="002D3CE0">
      <w:pPr>
        <w:spacing w:after="200"/>
      </w:pPr>
      <w:r>
        <w:t>In 2012, businesses and industries in Co-op Nation and vicinity required 34</w:t>
      </w:r>
      <w:r w:rsidR="001E18EF">
        <w:t>%</w:t>
      </w:r>
      <w:r w:rsidR="00883F4D">
        <w:t xml:space="preserve"> </w:t>
      </w:r>
      <w:r>
        <w:t>more electricity (in terms of expenditures</w:t>
      </w:r>
      <w:r w:rsidR="00990CD8">
        <w:t xml:space="preserve"> on electricity per dollar of output</w:t>
      </w:r>
      <w:r>
        <w:t xml:space="preserve">) than the businesses and industries in the rest of the U.S. This is </w:t>
      </w:r>
      <w:r w:rsidR="00106061">
        <w:t xml:space="preserve">due to a higher concentration of </w:t>
      </w:r>
      <w:r w:rsidR="00883F4D">
        <w:t>energy-intens</w:t>
      </w:r>
      <w:r w:rsidR="001E18EF">
        <w:t>ive</w:t>
      </w:r>
      <w:r w:rsidR="00883F4D">
        <w:t xml:space="preserve"> </w:t>
      </w:r>
      <w:r w:rsidR="00106061">
        <w:t xml:space="preserve">businesses </w:t>
      </w:r>
      <w:r w:rsidR="001E18EF">
        <w:t>being</w:t>
      </w:r>
      <w:r w:rsidR="00106061">
        <w:t xml:space="preserve"> </w:t>
      </w:r>
      <w:r w:rsidR="00883F4D">
        <w:t xml:space="preserve">located in rural areas </w:t>
      </w:r>
      <w:r w:rsidR="008B3D06">
        <w:t xml:space="preserve">with </w:t>
      </w:r>
      <w:r w:rsidR="00883F4D">
        <w:t>affordable electricity.</w:t>
      </w:r>
      <w:r w:rsidR="002D3CE0">
        <w:t xml:space="preserve"> </w:t>
      </w:r>
      <w:r w:rsidR="0075489A">
        <w:t>The</w:t>
      </w:r>
      <w:r w:rsidR="00883F4D">
        <w:t>se</w:t>
      </w:r>
      <w:r w:rsidR="0075489A">
        <w:t xml:space="preserve"> industr</w:t>
      </w:r>
      <w:r w:rsidR="00720849">
        <w:t xml:space="preserve">ies </w:t>
      </w:r>
      <w:r w:rsidR="00883F4D">
        <w:t xml:space="preserve">include </w:t>
      </w:r>
      <w:r w:rsidR="0075489A">
        <w:t>agriculture and manufacturing</w:t>
      </w:r>
      <w:r w:rsidR="00883F4D">
        <w:t xml:space="preserve">, among others and </w:t>
      </w:r>
      <w:r w:rsidR="0075489A">
        <w:t>have a greater sensitivity to electricity price increases than the more service</w:t>
      </w:r>
      <w:r w:rsidR="00883F4D">
        <w:t>-</w:t>
      </w:r>
      <w:r w:rsidR="0075489A">
        <w:t xml:space="preserve">based economies found in </w:t>
      </w:r>
      <w:r w:rsidR="00883F4D">
        <w:t>more densely populated areas</w:t>
      </w:r>
      <w:r w:rsidR="0075489A">
        <w:t>.</w:t>
      </w:r>
    </w:p>
    <w:p w14:paraId="1A268EE3" w14:textId="77777777" w:rsidR="006B3432" w:rsidRDefault="0081709D" w:rsidP="005475E8">
      <w:r>
        <w:t>A 10% increase in elect</w:t>
      </w:r>
      <w:r w:rsidR="00F65DC1">
        <w:t>ricity prices</w:t>
      </w:r>
      <w:r w:rsidR="006B3432">
        <w:t xml:space="preserve"> over the 2020 to 2040 period results in:</w:t>
      </w:r>
    </w:p>
    <w:p w14:paraId="6C5C9F31" w14:textId="4470B4C0" w:rsidR="00E960B8" w:rsidRDefault="00E960B8" w:rsidP="00B75D95">
      <w:pPr>
        <w:pStyle w:val="ListParagraph"/>
        <w:numPr>
          <w:ilvl w:val="0"/>
          <w:numId w:val="11"/>
        </w:numPr>
      </w:pPr>
      <w:r>
        <w:t>A</w:t>
      </w:r>
      <w:r w:rsidR="007E3AEE">
        <w:t xml:space="preserve"> non-cumulative </w:t>
      </w:r>
      <w:r w:rsidR="00743B86">
        <w:t xml:space="preserve">average job loss of </w:t>
      </w:r>
      <w:r>
        <w:t xml:space="preserve">882,000 </w:t>
      </w:r>
      <w:r w:rsidR="00480DDA">
        <w:t>nation</w:t>
      </w:r>
      <w:r>
        <w:t>wide</w:t>
      </w:r>
      <w:r w:rsidR="00897F8E">
        <w:t xml:space="preserve"> that peaks at 1.2 million </w:t>
      </w:r>
      <w:r w:rsidR="00271259">
        <w:t>by</w:t>
      </w:r>
      <w:r w:rsidR="00897F8E">
        <w:t xml:space="preserve"> 2021</w:t>
      </w:r>
    </w:p>
    <w:p w14:paraId="731872DC" w14:textId="640CABB9" w:rsidR="00E960B8" w:rsidRDefault="00E13B7A" w:rsidP="00B75D95">
      <w:pPr>
        <w:pStyle w:val="ListParagraph"/>
        <w:numPr>
          <w:ilvl w:val="1"/>
          <w:numId w:val="11"/>
        </w:numPr>
      </w:pPr>
      <w:r>
        <w:t>Of that, a</w:t>
      </w:r>
      <w:r w:rsidR="00E960B8">
        <w:t xml:space="preserve"> non-cumulative average job loss of </w:t>
      </w:r>
      <w:r w:rsidR="00897F8E">
        <w:t>360,000 in</w:t>
      </w:r>
      <w:r w:rsidR="00480DDA">
        <w:t xml:space="preserve"> </w:t>
      </w:r>
      <w:r w:rsidR="00743B86">
        <w:t>areas served by electric cooperatives</w:t>
      </w:r>
      <w:r w:rsidR="00897F8E">
        <w:t xml:space="preserve"> that peaks at 499,000 </w:t>
      </w:r>
      <w:r w:rsidR="00271259">
        <w:t>by</w:t>
      </w:r>
      <w:r w:rsidR="00897F8E">
        <w:t xml:space="preserve"> 2021</w:t>
      </w:r>
    </w:p>
    <w:p w14:paraId="42231696" w14:textId="086AAD1F" w:rsidR="0081709D" w:rsidRDefault="00897F8E" w:rsidP="00B75D95">
      <w:pPr>
        <w:pStyle w:val="ListParagraph"/>
        <w:numPr>
          <w:ilvl w:val="0"/>
          <w:numId w:val="11"/>
        </w:numPr>
      </w:pPr>
      <w:r>
        <w:t>A</w:t>
      </w:r>
      <w:r w:rsidR="00343E95">
        <w:t xml:space="preserve"> </w:t>
      </w:r>
      <w:r w:rsidR="007E3AEE">
        <w:t>cumulative loss in</w:t>
      </w:r>
      <w:r w:rsidR="00C05D82">
        <w:t xml:space="preserve"> national</w:t>
      </w:r>
      <w:r w:rsidR="007E3AEE">
        <w:t xml:space="preserve"> GDP of $2.8 trillion</w:t>
      </w:r>
    </w:p>
    <w:p w14:paraId="2DE8A08D" w14:textId="77777777" w:rsidR="00B175B3" w:rsidRDefault="00B175B3" w:rsidP="005475E8"/>
    <w:p w14:paraId="4E9AF1EB" w14:textId="77777777" w:rsidR="009D73B4" w:rsidRDefault="007E3AEE" w:rsidP="005475E8">
      <w:r>
        <w:t xml:space="preserve">A 25% increase in electricity prices </w:t>
      </w:r>
      <w:r w:rsidR="009D73B4">
        <w:t xml:space="preserve">over the 2020 to 2040 period </w:t>
      </w:r>
      <w:r>
        <w:t>results in</w:t>
      </w:r>
      <w:r w:rsidR="009D73B4">
        <w:t>:</w:t>
      </w:r>
    </w:p>
    <w:p w14:paraId="79FC8EBA" w14:textId="007DF21B" w:rsidR="009D73B4" w:rsidRDefault="009D73B4" w:rsidP="00B75D95">
      <w:pPr>
        <w:pStyle w:val="ListParagraph"/>
        <w:numPr>
          <w:ilvl w:val="0"/>
          <w:numId w:val="12"/>
        </w:numPr>
      </w:pPr>
      <w:r>
        <w:t>A</w:t>
      </w:r>
      <w:r w:rsidR="007E3AEE">
        <w:t xml:space="preserve"> non-cumulative average job loss of </w:t>
      </w:r>
      <w:r w:rsidR="00107003">
        <w:t>1.5 milli</w:t>
      </w:r>
      <w:r>
        <w:t xml:space="preserve">on </w:t>
      </w:r>
      <w:r w:rsidR="00107003">
        <w:t>nation</w:t>
      </w:r>
      <w:r>
        <w:t>wide</w:t>
      </w:r>
      <w:r w:rsidR="00C05D82">
        <w:t xml:space="preserve"> that peaks at 2.2 million </w:t>
      </w:r>
      <w:r w:rsidR="00271259">
        <w:t>by</w:t>
      </w:r>
      <w:r w:rsidR="00C05D82">
        <w:t xml:space="preserve"> 2021</w:t>
      </w:r>
    </w:p>
    <w:p w14:paraId="2DDBF6B2" w14:textId="5A30BA63" w:rsidR="00F13B24" w:rsidRDefault="00E13B7A" w:rsidP="00B75D95">
      <w:pPr>
        <w:pStyle w:val="ListParagraph"/>
        <w:numPr>
          <w:ilvl w:val="1"/>
          <w:numId w:val="12"/>
        </w:numPr>
      </w:pPr>
      <w:r>
        <w:t>Of that, a</w:t>
      </w:r>
      <w:r w:rsidR="009D73B4">
        <w:t xml:space="preserve"> non-cumulative average </w:t>
      </w:r>
      <w:r w:rsidR="00F13B24">
        <w:t>job loss of 614,000</w:t>
      </w:r>
      <w:r w:rsidR="00107003">
        <w:t xml:space="preserve"> in areas served by elect</w:t>
      </w:r>
      <w:r w:rsidR="00F13B24">
        <w:t>ric cooperatives</w:t>
      </w:r>
      <w:r w:rsidR="00C05D82">
        <w:t xml:space="preserve"> that peaks at 893,000 </w:t>
      </w:r>
      <w:r w:rsidR="00271259">
        <w:t>by</w:t>
      </w:r>
      <w:r w:rsidR="00C05D82">
        <w:t xml:space="preserve"> 2021</w:t>
      </w:r>
    </w:p>
    <w:p w14:paraId="24DD5483" w14:textId="42307519" w:rsidR="00926C73" w:rsidRDefault="00F13B24" w:rsidP="007E72A1">
      <w:pPr>
        <w:pStyle w:val="ListParagraph"/>
        <w:numPr>
          <w:ilvl w:val="0"/>
          <w:numId w:val="12"/>
        </w:numPr>
      </w:pPr>
      <w:r>
        <w:t>A cumulative loss in national GDP of $5.4 trillion</w:t>
      </w:r>
    </w:p>
    <w:p w14:paraId="59FFFBC2" w14:textId="77777777" w:rsidR="00926C73" w:rsidRDefault="00926C73" w:rsidP="00550416"/>
    <w:p w14:paraId="4C6A16F8" w14:textId="77777777" w:rsidR="00926C73" w:rsidRDefault="00C068D1" w:rsidP="00550416">
      <w:pPr>
        <w:rPr>
          <w:rFonts w:eastAsiaTheme="minorEastAsia"/>
        </w:rPr>
      </w:pPr>
      <w:r>
        <w:t>T</w:t>
      </w:r>
      <w:r w:rsidR="00C241B3">
        <w:t xml:space="preserve">he study also reveals a </w:t>
      </w:r>
      <w:r>
        <w:t xml:space="preserve">substantial </w:t>
      </w:r>
      <w:r w:rsidR="00C241B3">
        <w:t>decline in the average per capita real disposable personal income</w:t>
      </w:r>
      <w:r w:rsidR="00AB248D">
        <w:t xml:space="preserve"> (RDPI)</w:t>
      </w:r>
      <w:r w:rsidR="00C241B3">
        <w:t xml:space="preserve"> in areas served by </w:t>
      </w:r>
      <w:r w:rsidR="009809C3">
        <w:t>Co-op Nation and vicinity.</w:t>
      </w:r>
      <w:r w:rsidR="00C241B3">
        <w:t xml:space="preserve"> Th</w:t>
      </w:r>
      <w:r w:rsidR="00E533EA">
        <w:t>is</w:t>
      </w:r>
      <w:r w:rsidR="00C241B3">
        <w:t xml:space="preserve"> decline of </w:t>
      </w:r>
      <w:r w:rsidR="00C241B3">
        <w:rPr>
          <w:rFonts w:eastAsiaTheme="minorEastAsia"/>
        </w:rPr>
        <w:t>$479 and $1028 in the 10</w:t>
      </w:r>
      <w:r w:rsidR="001E18EF">
        <w:rPr>
          <w:rFonts w:eastAsiaTheme="minorEastAsia"/>
        </w:rPr>
        <w:t>%</w:t>
      </w:r>
      <w:r w:rsidR="00E67C26">
        <w:rPr>
          <w:rFonts w:eastAsiaTheme="minorEastAsia"/>
        </w:rPr>
        <w:t xml:space="preserve"> </w:t>
      </w:r>
      <w:r w:rsidR="00C241B3">
        <w:rPr>
          <w:rFonts w:eastAsiaTheme="minorEastAsia"/>
        </w:rPr>
        <w:t>and 25</w:t>
      </w:r>
      <w:r w:rsidR="001E18EF">
        <w:rPr>
          <w:rFonts w:eastAsiaTheme="minorEastAsia"/>
        </w:rPr>
        <w:t>%</w:t>
      </w:r>
      <w:r w:rsidR="00C241B3">
        <w:rPr>
          <w:rFonts w:eastAsiaTheme="minorEastAsia"/>
        </w:rPr>
        <w:t xml:space="preserve"> electricity price increase scenarios, respectively</w:t>
      </w:r>
      <w:r w:rsidR="00E533EA">
        <w:rPr>
          <w:rFonts w:eastAsiaTheme="minorEastAsia"/>
        </w:rPr>
        <w:t xml:space="preserve"> </w:t>
      </w:r>
      <w:r w:rsidR="00E67C26">
        <w:rPr>
          <w:rFonts w:eastAsiaTheme="minorEastAsia"/>
        </w:rPr>
        <w:t>hits a population already earning a median income that is less than the national average, further disadvantaging them.</w:t>
      </w:r>
      <w:r w:rsidR="00C241B3">
        <w:rPr>
          <w:rFonts w:eastAsiaTheme="minorEastAsia"/>
        </w:rPr>
        <w:t xml:space="preserve"> </w:t>
      </w:r>
      <w:r w:rsidR="008B3D06">
        <w:rPr>
          <w:rFonts w:eastAsiaTheme="minorEastAsia"/>
        </w:rPr>
        <w:t xml:space="preserve">Importantly, </w:t>
      </w:r>
      <w:r w:rsidR="00AB248D">
        <w:rPr>
          <w:rFonts w:eastAsiaTheme="minorEastAsia"/>
        </w:rPr>
        <w:t xml:space="preserve">the </w:t>
      </w:r>
      <w:r>
        <w:rPr>
          <w:rFonts w:eastAsiaTheme="minorEastAsia"/>
        </w:rPr>
        <w:t xml:space="preserve">loss in co-op areas </w:t>
      </w:r>
      <w:r w:rsidR="00C209AC">
        <w:rPr>
          <w:rFonts w:eastAsiaTheme="minorEastAsia"/>
        </w:rPr>
        <w:t xml:space="preserve">exceeds the average </w:t>
      </w:r>
      <w:r w:rsidR="00AB248D">
        <w:rPr>
          <w:rFonts w:eastAsiaTheme="minorEastAsia"/>
        </w:rPr>
        <w:t xml:space="preserve">loss in per capita RDPI </w:t>
      </w:r>
      <w:r w:rsidR="00C209AC">
        <w:rPr>
          <w:rFonts w:eastAsiaTheme="minorEastAsia"/>
        </w:rPr>
        <w:t xml:space="preserve">measured across the </w:t>
      </w:r>
      <w:r w:rsidR="002E3219">
        <w:rPr>
          <w:rFonts w:eastAsiaTheme="minorEastAsia"/>
        </w:rPr>
        <w:t xml:space="preserve">rest of </w:t>
      </w:r>
      <w:r w:rsidR="00C209AC">
        <w:rPr>
          <w:rFonts w:eastAsiaTheme="minorEastAsia"/>
        </w:rPr>
        <w:t>U.S. (</w:t>
      </w:r>
      <w:r w:rsidR="002E3219">
        <w:rPr>
          <w:rFonts w:eastAsiaTheme="minorEastAsia"/>
        </w:rPr>
        <w:t>$323 and $681</w:t>
      </w:r>
      <w:r w:rsidR="002E3219" w:rsidRPr="002E3219">
        <w:rPr>
          <w:rFonts w:eastAsiaTheme="minorEastAsia"/>
        </w:rPr>
        <w:t xml:space="preserve"> </w:t>
      </w:r>
      <w:r w:rsidR="002E3219">
        <w:rPr>
          <w:rFonts w:eastAsiaTheme="minorEastAsia"/>
        </w:rPr>
        <w:t>in the 10% and 25%</w:t>
      </w:r>
      <w:r w:rsidR="00B32EDF">
        <w:rPr>
          <w:rFonts w:eastAsiaTheme="minorEastAsia"/>
        </w:rPr>
        <w:t xml:space="preserve"> price </w:t>
      </w:r>
      <w:r w:rsidR="002E3219">
        <w:rPr>
          <w:rFonts w:eastAsiaTheme="minorEastAsia"/>
        </w:rPr>
        <w:t>increase scenarios</w:t>
      </w:r>
      <w:r w:rsidR="00B32EDF">
        <w:rPr>
          <w:rFonts w:eastAsiaTheme="minorEastAsia"/>
        </w:rPr>
        <w:t xml:space="preserve">, respectively). </w:t>
      </w:r>
    </w:p>
    <w:p w14:paraId="1D000B9A" w14:textId="77777777" w:rsidR="00F07A15" w:rsidRDefault="00F07A15" w:rsidP="00550416">
      <w:pPr>
        <w:rPr>
          <w:rFonts w:eastAsiaTheme="minorEastAsia"/>
        </w:rPr>
      </w:pPr>
    </w:p>
    <w:p w14:paraId="5E5EAB24" w14:textId="229865A5" w:rsidR="00271259" w:rsidRDefault="008B3D06" w:rsidP="000C1270">
      <w:r>
        <w:rPr>
          <w:rFonts w:eastAsiaTheme="minorEastAsia"/>
        </w:rPr>
        <w:lastRenderedPageBreak/>
        <w:t>E</w:t>
      </w:r>
      <w:r w:rsidR="00F07A15">
        <w:rPr>
          <w:rFonts w:eastAsiaTheme="minorEastAsia"/>
        </w:rPr>
        <w:t>lectricity price increase</w:t>
      </w:r>
      <w:r w:rsidR="00B32EDF">
        <w:rPr>
          <w:rFonts w:eastAsiaTheme="minorEastAsia"/>
        </w:rPr>
        <w:t>s</w:t>
      </w:r>
      <w:r w:rsidR="00F07A15">
        <w:rPr>
          <w:rFonts w:eastAsiaTheme="minorEastAsia"/>
        </w:rPr>
        <w:t xml:space="preserve"> negatively impact the nation</w:t>
      </w:r>
      <w:r w:rsidR="00E259A3">
        <w:rPr>
          <w:rFonts w:eastAsiaTheme="minorEastAsia"/>
        </w:rPr>
        <w:t>’</w:t>
      </w:r>
      <w:r w:rsidR="00200005">
        <w:rPr>
          <w:rFonts w:eastAsiaTheme="minorEastAsia"/>
        </w:rPr>
        <w:t>s economy</w:t>
      </w:r>
      <w:r w:rsidR="00F07A15">
        <w:rPr>
          <w:rFonts w:eastAsiaTheme="minorEastAsia"/>
        </w:rPr>
        <w:t xml:space="preserve">, particularly areas served by electric cooperatives. </w:t>
      </w:r>
      <w:r w:rsidR="00AB248D">
        <w:rPr>
          <w:rFonts w:eastAsiaTheme="minorEastAsia"/>
        </w:rPr>
        <w:t xml:space="preserve"> Higher electricity prices </w:t>
      </w:r>
      <w:r w:rsidR="00F07A15" w:rsidRPr="000C1270">
        <w:t>hit American families from both sides as they pay more out of their pocket to keep the lights on, while simultaneously</w:t>
      </w:r>
      <w:r w:rsidR="00B32EDF">
        <w:t xml:space="preserve">, </w:t>
      </w:r>
      <w:r w:rsidR="00F07A15" w:rsidRPr="000C1270">
        <w:t xml:space="preserve">enduring </w:t>
      </w:r>
      <w:r w:rsidR="00F544C6">
        <w:t>higher prices for goods and services produced with electricity,</w:t>
      </w:r>
      <w:r w:rsidR="00F07A15" w:rsidRPr="000C1270">
        <w:t xml:space="preserve"> </w:t>
      </w:r>
      <w:r w:rsidR="00F544C6" w:rsidRPr="000C1270">
        <w:t>job losses</w:t>
      </w:r>
      <w:r w:rsidR="00F544C6">
        <w:t xml:space="preserve">, </w:t>
      </w:r>
      <w:r w:rsidR="00F07A15" w:rsidRPr="000C1270">
        <w:t xml:space="preserve">and </w:t>
      </w:r>
      <w:r w:rsidR="00200005" w:rsidRPr="000C1270">
        <w:t>less money in the family budget.</w:t>
      </w:r>
    </w:p>
    <w:p w14:paraId="4F24B47C" w14:textId="77777777" w:rsidR="00E13B7A" w:rsidRDefault="00E13B7A" w:rsidP="000C1270"/>
    <w:p w14:paraId="607995EC" w14:textId="1E917B00" w:rsidR="00E13B7A" w:rsidRPr="00B75D95" w:rsidRDefault="00545500" w:rsidP="000C1270">
      <w:pPr>
        <w:rPr>
          <w:i/>
        </w:rPr>
        <w:sectPr w:rsidR="00E13B7A" w:rsidRPr="00B75D95" w:rsidSect="00740E2F">
          <w:footerReference w:type="default" r:id="rId9"/>
          <w:headerReference w:type="first" r:id="rId10"/>
          <w:pgSz w:w="12240" w:h="15840" w:code="1"/>
          <w:pgMar w:top="1296" w:right="1296" w:bottom="1152" w:left="1296" w:header="720" w:footer="720" w:gutter="0"/>
          <w:cols w:space="720"/>
          <w:titlePg/>
          <w:docGrid w:linePitch="360"/>
        </w:sectPr>
      </w:pPr>
      <w:r w:rsidRPr="00B75D95">
        <w:rPr>
          <w:i/>
        </w:rPr>
        <w:t>*</w:t>
      </w:r>
      <w:r w:rsidR="00E13B7A" w:rsidRPr="00B75D95">
        <w:rPr>
          <w:i/>
        </w:rPr>
        <w:t xml:space="preserve">As noted above, the job loss numbers in this </w:t>
      </w:r>
      <w:r w:rsidRPr="00B75D95">
        <w:rPr>
          <w:i/>
        </w:rPr>
        <w:t>study are averages that occur over the 2020 to 2040 period and are not cumulative.</w:t>
      </w:r>
    </w:p>
    <w:p w14:paraId="4A0FE06C" w14:textId="77777777" w:rsidR="009630C9" w:rsidRDefault="009630C9" w:rsidP="009630C9">
      <w:pPr>
        <w:spacing w:line="240" w:lineRule="auto"/>
        <w:ind w:right="-360"/>
        <w:jc w:val="center"/>
        <w:rPr>
          <w:b/>
        </w:rPr>
      </w:pPr>
      <w:r w:rsidRPr="009630C9">
        <w:rPr>
          <w:b/>
          <w:sz w:val="28"/>
        </w:rPr>
        <w:lastRenderedPageBreak/>
        <w:t xml:space="preserve">Affordable Electricity: Rural America’s Economic </w:t>
      </w:r>
      <w:r w:rsidR="00A07B04">
        <w:rPr>
          <w:b/>
          <w:sz w:val="28"/>
        </w:rPr>
        <w:t>Lifeline</w:t>
      </w:r>
    </w:p>
    <w:p w14:paraId="5E21676C" w14:textId="77777777" w:rsidR="009630C9" w:rsidRDefault="009630C9" w:rsidP="00F5376E">
      <w:pPr>
        <w:spacing w:line="240" w:lineRule="auto"/>
        <w:ind w:right="-360"/>
        <w:rPr>
          <w:b/>
        </w:rPr>
      </w:pPr>
    </w:p>
    <w:p w14:paraId="4289926B" w14:textId="77777777" w:rsidR="00DA1663" w:rsidRPr="0063597C" w:rsidRDefault="00DA1663" w:rsidP="00F5376E">
      <w:pPr>
        <w:spacing w:line="240" w:lineRule="auto"/>
        <w:ind w:right="-360"/>
        <w:rPr>
          <w:b/>
        </w:rPr>
      </w:pPr>
      <w:r w:rsidRPr="0063597C">
        <w:rPr>
          <w:b/>
        </w:rPr>
        <w:t>Affordable Electricity is Essential to Economic Growth</w:t>
      </w:r>
    </w:p>
    <w:p w14:paraId="32C2FA33" w14:textId="77777777" w:rsidR="00DA1663" w:rsidRDefault="009947E1" w:rsidP="00F5376E">
      <w:pPr>
        <w:ind w:right="-360"/>
      </w:pPr>
      <w:r>
        <w:t xml:space="preserve">Historically electricity sales growth has been closely correlated with growth in the nation’s gross domestic product (GDP). </w:t>
      </w:r>
      <w:r w:rsidR="00DA1663">
        <w:t xml:space="preserve">Some have noted in recent years that electricity growth has stagnated even as the economy continues to expand, suggesting that electricity use is less important to U.S. GDP growth today than in the past.  </w:t>
      </w:r>
      <w:r w:rsidR="00C842E6">
        <w:t>Quite the reverse</w:t>
      </w:r>
      <w:r w:rsidR="00DA1663">
        <w:t xml:space="preserve">, affordable electricity is essential to providing the useful work that drives </w:t>
      </w:r>
      <w:r w:rsidR="00CC1C9C">
        <w:t xml:space="preserve">the economy </w:t>
      </w:r>
      <w:r w:rsidR="00084FC4">
        <w:t>and</w:t>
      </w:r>
      <w:r w:rsidR="006665C8">
        <w:t xml:space="preserve"> jobs</w:t>
      </w:r>
      <w:r w:rsidR="00DA1663">
        <w:t>.  When electricity prices rise, electricity consumption falls, causing useful work</w:t>
      </w:r>
      <w:r w:rsidR="00385B4F">
        <w:t>, employment,</w:t>
      </w:r>
      <w:r w:rsidR="00DA1663">
        <w:t xml:space="preserve"> and economic growth to decline.</w:t>
      </w:r>
    </w:p>
    <w:p w14:paraId="7D053C82" w14:textId="77777777" w:rsidR="00CE79AB" w:rsidRDefault="00CE79AB" w:rsidP="00DA1663">
      <w:pPr>
        <w:spacing w:line="240" w:lineRule="auto"/>
        <w:ind w:left="-360" w:right="-360"/>
      </w:pPr>
    </w:p>
    <w:p w14:paraId="4CEF3A17" w14:textId="77777777" w:rsidR="0004786E" w:rsidRPr="00071BCC" w:rsidRDefault="0004786E" w:rsidP="00F5376E">
      <w:pPr>
        <w:spacing w:line="240" w:lineRule="auto"/>
        <w:ind w:right="-360"/>
        <w:rPr>
          <w:b/>
        </w:rPr>
      </w:pPr>
      <w:r w:rsidRPr="00071BCC">
        <w:rPr>
          <w:b/>
        </w:rPr>
        <w:t xml:space="preserve">Handicapping Electricity Use </w:t>
      </w:r>
    </w:p>
    <w:p w14:paraId="10946FBB" w14:textId="77777777" w:rsidR="00530320" w:rsidRDefault="00A72B0B" w:rsidP="00F5376E">
      <w:pPr>
        <w:ind w:right="-360"/>
      </w:pPr>
      <w:r>
        <w:t>G</w:t>
      </w:r>
      <w:r w:rsidR="001379C3">
        <w:t>overnment policies</w:t>
      </w:r>
      <w:r w:rsidR="00BE13DF">
        <w:t xml:space="preserve"> and programs</w:t>
      </w:r>
      <w:r w:rsidR="001379C3">
        <w:t xml:space="preserve"> </w:t>
      </w:r>
      <w:r>
        <w:t xml:space="preserve">can </w:t>
      </w:r>
      <w:r w:rsidR="003414DC">
        <w:t xml:space="preserve">handicap the full potential </w:t>
      </w:r>
      <w:r w:rsidR="00084FC4">
        <w:t xml:space="preserve">of affordable electricity by </w:t>
      </w:r>
      <w:r w:rsidR="0004786E">
        <w:t>putting upward pressure on electricity rates</w:t>
      </w:r>
      <w:r w:rsidR="00026394">
        <w:t>,</w:t>
      </w:r>
      <w:r w:rsidR="00071BCC">
        <w:t xml:space="preserve"> thereby </w:t>
      </w:r>
      <w:r w:rsidR="00026DEA">
        <w:t>foreclosing</w:t>
      </w:r>
      <w:r w:rsidR="00071BCC">
        <w:t xml:space="preserve"> opportunities for </w:t>
      </w:r>
      <w:r w:rsidR="00026394">
        <w:t xml:space="preserve">economic </w:t>
      </w:r>
      <w:r w:rsidR="00071BCC">
        <w:t xml:space="preserve">growth. </w:t>
      </w:r>
      <w:r w:rsidR="00D02ECE">
        <w:t>Federal environmental regulations under the Clean Air Act often require electricity suppliers to undertake costly new investments and incur higher op</w:t>
      </w:r>
      <w:r w:rsidR="00766D42">
        <w:t>erat</w:t>
      </w:r>
      <w:r w:rsidR="00C8161E">
        <w:t>ing</w:t>
      </w:r>
      <w:r w:rsidR="00D02ECE">
        <w:t xml:space="preserve"> costs.  </w:t>
      </w:r>
      <w:r w:rsidR="0004786E">
        <w:t>B</w:t>
      </w:r>
      <w:r w:rsidR="00F651AF">
        <w:t xml:space="preserve">iased approaches </w:t>
      </w:r>
      <w:r w:rsidR="00026394">
        <w:t>to setting energy efficiency policy by both f</w:t>
      </w:r>
      <w:r w:rsidR="00BE13DF">
        <w:t xml:space="preserve">ederal </w:t>
      </w:r>
      <w:r w:rsidR="00026394">
        <w:t xml:space="preserve">and state </w:t>
      </w:r>
      <w:r w:rsidR="00BE13DF">
        <w:t>g</w:t>
      </w:r>
      <w:r w:rsidR="00F651AF">
        <w:t>overnment</w:t>
      </w:r>
      <w:r w:rsidR="00026394">
        <w:t>s</w:t>
      </w:r>
      <w:r w:rsidR="00F651AF">
        <w:t xml:space="preserve"> </w:t>
      </w:r>
      <w:r w:rsidR="00026394">
        <w:t xml:space="preserve">can </w:t>
      </w:r>
      <w:r w:rsidR="003414DC">
        <w:t xml:space="preserve">impede </w:t>
      </w:r>
      <w:r w:rsidR="00F651AF">
        <w:t>the penetration of low cost, electric household appliances</w:t>
      </w:r>
      <w:r w:rsidR="00BE13DF">
        <w:t xml:space="preserve"> in favor of more costly, non-electric technologies</w:t>
      </w:r>
      <w:r w:rsidR="00F651AF">
        <w:t>.</w:t>
      </w:r>
      <w:r w:rsidR="007C2857">
        <w:t xml:space="preserve">  Many </w:t>
      </w:r>
      <w:r w:rsidR="007C2857" w:rsidRPr="001379C3">
        <w:t xml:space="preserve">jurisdictions make </w:t>
      </w:r>
      <w:r w:rsidR="007C2857">
        <w:t xml:space="preserve">the </w:t>
      </w:r>
      <w:r w:rsidR="007C2857" w:rsidRPr="001379C3">
        <w:t xml:space="preserve">siting of </w:t>
      </w:r>
      <w:r w:rsidR="007C2857">
        <w:t>electric transmission lines difficult</w:t>
      </w:r>
      <w:r w:rsidR="007C2857" w:rsidRPr="001379C3">
        <w:t>, especially when crossing state lines or federal lands</w:t>
      </w:r>
      <w:r w:rsidR="003414DC">
        <w:t xml:space="preserve">.  This </w:t>
      </w:r>
      <w:r w:rsidR="007C2857">
        <w:t>often lead</w:t>
      </w:r>
      <w:r w:rsidR="003414DC">
        <w:t>s</w:t>
      </w:r>
      <w:r w:rsidR="007C2857">
        <w:t xml:space="preserve"> to delays</w:t>
      </w:r>
      <w:r w:rsidR="003414DC">
        <w:t>, longer routes, and more costly projects</w:t>
      </w:r>
      <w:r w:rsidR="007C2857">
        <w:t xml:space="preserve">. Moreover, </w:t>
      </w:r>
      <w:r w:rsidR="007C2857" w:rsidRPr="001379C3">
        <w:t xml:space="preserve">NIMBYism </w:t>
      </w:r>
      <w:r w:rsidR="003414DC">
        <w:t>often</w:t>
      </w:r>
      <w:r w:rsidR="007C2857" w:rsidRPr="001379C3">
        <w:t xml:space="preserve"> lead</w:t>
      </w:r>
      <w:r w:rsidR="003414DC">
        <w:t>s</w:t>
      </w:r>
      <w:r w:rsidR="007C2857" w:rsidRPr="001379C3">
        <w:t xml:space="preserve"> to cancellations</w:t>
      </w:r>
      <w:r w:rsidR="007C2857">
        <w:t xml:space="preserve"> of new electricity generation, transmission and distribution </w:t>
      </w:r>
      <w:r w:rsidR="009D6CA4">
        <w:t>projects</w:t>
      </w:r>
      <w:r w:rsidR="007C2857">
        <w:t xml:space="preserve"> </w:t>
      </w:r>
      <w:r w:rsidR="00530320">
        <w:t>which are designed to assure reliable and affordable electricity.</w:t>
      </w:r>
    </w:p>
    <w:p w14:paraId="298F1793" w14:textId="77777777" w:rsidR="00026DEA" w:rsidRDefault="00026DEA" w:rsidP="00071BCC">
      <w:pPr>
        <w:ind w:left="-360" w:right="-360"/>
      </w:pPr>
    </w:p>
    <w:p w14:paraId="7188368B" w14:textId="77777777" w:rsidR="00026DEA" w:rsidRPr="00026DEA" w:rsidRDefault="00DC1D54" w:rsidP="00F5376E">
      <w:pPr>
        <w:ind w:left="-360" w:right="-360" w:firstLine="360"/>
        <w:rPr>
          <w:b/>
        </w:rPr>
      </w:pPr>
      <w:r>
        <w:rPr>
          <w:b/>
        </w:rPr>
        <w:t>Examining the</w:t>
      </w:r>
      <w:r w:rsidR="00026DEA" w:rsidRPr="00026DEA">
        <w:rPr>
          <w:b/>
        </w:rPr>
        <w:t xml:space="preserve"> Impact of Higher Ele</w:t>
      </w:r>
      <w:r>
        <w:rPr>
          <w:b/>
        </w:rPr>
        <w:t>ctricity Prices on Co-op Nation</w:t>
      </w:r>
    </w:p>
    <w:p w14:paraId="11A17207" w14:textId="77777777" w:rsidR="00F5376E" w:rsidRDefault="00026DEA" w:rsidP="00F5376E">
      <w:r>
        <w:t>The National Rural Electric Co-operative Association (NRECA) engaged Regional Economic Models, Inc. (REMI) to examine the impact of electricity price increases using a 2-region REMI PI</w:t>
      </w:r>
      <w:r>
        <w:rPr>
          <w:vertAlign w:val="superscript"/>
        </w:rPr>
        <w:t>+</w:t>
      </w:r>
      <w:r>
        <w:t> model of the United States’ economy and demographics.</w:t>
      </w:r>
      <w:r w:rsidR="001A118E">
        <w:rPr>
          <w:rStyle w:val="FootnoteReference"/>
        </w:rPr>
        <w:footnoteReference w:id="1"/>
      </w:r>
      <w:r>
        <w:t xml:space="preserve"> REMI PI</w:t>
      </w:r>
      <w:r>
        <w:rPr>
          <w:vertAlign w:val="superscript"/>
        </w:rPr>
        <w:t>+</w:t>
      </w:r>
      <w:r>
        <w:t> is a computerized model of subnational units of the United States with the 3,143 counties and county-equivalents as its fundamental building blocks of geography.</w:t>
      </w:r>
      <w:r>
        <w:rPr>
          <w:rStyle w:val="FootnoteReference"/>
        </w:rPr>
        <w:footnoteReference w:id="2"/>
      </w:r>
      <w:r>
        <w:t xml:space="preserve"> </w:t>
      </w:r>
      <w:r w:rsidR="00F5376E">
        <w:t>The two regions approximate the economic and physical space served by the rural electric co-operatives,</w:t>
      </w:r>
      <w:r w:rsidR="00F5376E">
        <w:rPr>
          <w:rStyle w:val="FootnoteReference"/>
        </w:rPr>
        <w:footnoteReference w:id="3"/>
      </w:r>
      <w:r w:rsidR="00F5376E">
        <w:t xml:space="preserve"> called “Co-op Nation</w:t>
      </w:r>
      <w:r w:rsidR="00DD7BEB">
        <w:t xml:space="preserve"> and vicinity</w:t>
      </w:r>
      <w:r w:rsidR="00F5376E">
        <w:t xml:space="preserve">” here, and the remainder of the United States not served by rural co-ops. This allows for the simulation of changing electricity prices </w:t>
      </w:r>
      <w:r w:rsidR="00026394">
        <w:t xml:space="preserve">across </w:t>
      </w:r>
      <w:r w:rsidR="00F5376E">
        <w:t xml:space="preserve">the two regions and </w:t>
      </w:r>
      <w:r w:rsidR="00026394">
        <w:t xml:space="preserve">measurement of the resulting economic impacts. </w:t>
      </w:r>
    </w:p>
    <w:p w14:paraId="79A03003" w14:textId="77777777" w:rsidR="00F5376E" w:rsidRDefault="00F5376E" w:rsidP="00026DEA"/>
    <w:p w14:paraId="115EC925" w14:textId="77777777" w:rsidR="00CF2FCA" w:rsidRDefault="00CF2FCA" w:rsidP="00CF2FCA">
      <w:r>
        <w:t xml:space="preserve">The </w:t>
      </w:r>
      <w:r w:rsidR="002C7D2A">
        <w:t xml:space="preserve">service territories of the electric cooperatives that comprise </w:t>
      </w:r>
      <w:r>
        <w:t>Co-op Nation</w:t>
      </w:r>
      <w:r w:rsidR="002C7D2A">
        <w:t xml:space="preserve"> </w:t>
      </w:r>
      <w:r>
        <w:t xml:space="preserve">do not follow the borders </w:t>
      </w:r>
      <w:r w:rsidR="002C7D2A">
        <w:t xml:space="preserve">of </w:t>
      </w:r>
      <w:r>
        <w:t>counties. PI</w:t>
      </w:r>
      <w:r>
        <w:rPr>
          <w:vertAlign w:val="superscript"/>
        </w:rPr>
        <w:t>+</w:t>
      </w:r>
      <w:r>
        <w:t xml:space="preserve"> is predominantly a county-level model in its ready configurations. NRECA and REMI </w:t>
      </w:r>
      <w:r>
        <w:lastRenderedPageBreak/>
        <w:t xml:space="preserve">adjusted for this based on the preponderance of households either in or out </w:t>
      </w:r>
      <w:r w:rsidR="00C8161E">
        <w:t>of Co-op Nation by county; the tipping point</w:t>
      </w:r>
      <w:r>
        <w:t xml:space="preserve"> for “in” versus “out” was 10% of households in a given county. Any county with more than 10% of its households served by co-ops became part of Co-op Nation</w:t>
      </w:r>
      <w:r w:rsidR="002C7D2A">
        <w:t xml:space="preserve"> and vicinity. A </w:t>
      </w:r>
      <w:r>
        <w:t>10% share indicates a strong enough co-op presence in a county to warrant its inclusion given the economic health of these counties is of significant importance to co-op member-consumers in the</w:t>
      </w:r>
      <w:r w:rsidR="002C7D2A">
        <w:t xml:space="preserve">ir regions. These counties </w:t>
      </w:r>
      <w:r>
        <w:t xml:space="preserve">have an open </w:t>
      </w:r>
      <w:r w:rsidR="009D6CA4">
        <w:t xml:space="preserve">and integrated </w:t>
      </w:r>
      <w:r>
        <w:t>economy between Co-op Nation and the rest of the United States, in which people often commute to nearby towns or cities and live, work, and spend freely between the two as a connected economy.</w:t>
      </w:r>
    </w:p>
    <w:p w14:paraId="7C575333" w14:textId="77777777" w:rsidR="00C8161E" w:rsidRDefault="00C8161E" w:rsidP="00CF2FCA"/>
    <w:p w14:paraId="3D1FC5A9" w14:textId="77777777" w:rsidR="00C8161E" w:rsidRPr="004E4EC0" w:rsidRDefault="00CC1C9C" w:rsidP="00C8161E">
      <w:r>
        <w:t xml:space="preserve">Figure 1 depicts </w:t>
      </w:r>
      <w:r w:rsidR="00C8161E" w:rsidRPr="004E4EC0">
        <w:t>the 2-region configuration between Co-op Nation and the rest of the nation at the heart of this study.</w:t>
      </w:r>
      <w:r w:rsidR="004E4EC0" w:rsidRPr="004E4EC0">
        <w:rPr>
          <w:rStyle w:val="FootnoteReference"/>
        </w:rPr>
        <w:footnoteReference w:id="4"/>
      </w:r>
      <w:r w:rsidR="00C8161E" w:rsidRPr="004E4EC0">
        <w:t xml:space="preserve"> The gray region includes Co</w:t>
      </w:r>
      <w:r w:rsidR="004B503F">
        <w:t>-</w:t>
      </w:r>
      <w:r w:rsidR="00C8161E" w:rsidRPr="004E4EC0">
        <w:t>op Nation while the blue area surrounded by light blue borders includes the rest of the United States. Co</w:t>
      </w:r>
      <w:r w:rsidR="004B503F">
        <w:t>-</w:t>
      </w:r>
      <w:r w:rsidR="00C8161E" w:rsidRPr="004E4EC0">
        <w:t xml:space="preserve">op Nation involves mostly rural counties in the Midwestern, Southern, and Western United States with less of a presence in California, around large cities like Chicago, </w:t>
      </w:r>
      <w:r>
        <w:t xml:space="preserve">and in </w:t>
      </w:r>
      <w:r w:rsidR="00C8161E" w:rsidRPr="004E4EC0">
        <w:t>the Northeast.</w:t>
      </w:r>
    </w:p>
    <w:p w14:paraId="06EEC13C" w14:textId="77777777" w:rsidR="00C8161E" w:rsidRDefault="00C8161E" w:rsidP="00CF2FCA"/>
    <w:p w14:paraId="1077D04D" w14:textId="77777777" w:rsidR="009630C9" w:rsidRPr="00C8161E" w:rsidRDefault="00C8161E" w:rsidP="00CF2FCA">
      <w:pPr>
        <w:rPr>
          <w:b/>
          <w:sz w:val="24"/>
        </w:rPr>
      </w:pPr>
      <w:r w:rsidRPr="00C8161E">
        <w:rPr>
          <w:b/>
          <w:sz w:val="24"/>
        </w:rPr>
        <w:t>Figure 1</w:t>
      </w:r>
      <w:r w:rsidRPr="00C8161E">
        <w:rPr>
          <w:b/>
          <w:sz w:val="24"/>
        </w:rPr>
        <w:tab/>
        <w:t xml:space="preserve">   Co-op Nation</w:t>
      </w:r>
      <w:r w:rsidR="004E4EC0">
        <w:rPr>
          <w:b/>
          <w:sz w:val="24"/>
        </w:rPr>
        <w:t xml:space="preserve"> (and Vicinity) and Rest of USA</w:t>
      </w:r>
    </w:p>
    <w:p w14:paraId="5F7EC19C" w14:textId="77777777" w:rsidR="009630C9" w:rsidRPr="00D60A53" w:rsidRDefault="009630C9" w:rsidP="00CF2FCA">
      <w:pPr>
        <w:rPr>
          <w:sz w:val="12"/>
          <w:szCs w:val="12"/>
        </w:rPr>
      </w:pPr>
    </w:p>
    <w:p w14:paraId="1CD65AE3" w14:textId="77777777" w:rsidR="009630C9" w:rsidRDefault="009630C9" w:rsidP="00CF2FCA">
      <w:r>
        <w:rPr>
          <w:noProof/>
        </w:rPr>
        <w:drawing>
          <wp:inline distT="0" distB="0" distL="0" distR="0" wp14:anchorId="17874BD7" wp14:editId="3C752988">
            <wp:extent cx="5760720" cy="2464186"/>
            <wp:effectExtent l="19050" t="0" r="0" b="0"/>
            <wp:docPr id="34" name="Picture 3" descr="Co-Op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 Nation.PNG"/>
                    <pic:cNvPicPr/>
                  </pic:nvPicPr>
                  <pic:blipFill>
                    <a:blip r:embed="rId11" cstate="print"/>
                    <a:stretch>
                      <a:fillRect/>
                    </a:stretch>
                  </pic:blipFill>
                  <pic:spPr>
                    <a:xfrm>
                      <a:off x="0" y="0"/>
                      <a:ext cx="5760720" cy="2464186"/>
                    </a:xfrm>
                    <a:prstGeom prst="rect">
                      <a:avLst/>
                    </a:prstGeom>
                  </pic:spPr>
                </pic:pic>
              </a:graphicData>
            </a:graphic>
          </wp:inline>
        </w:drawing>
      </w:r>
    </w:p>
    <w:p w14:paraId="66696871" w14:textId="77777777" w:rsidR="009630C9" w:rsidRDefault="009630C9" w:rsidP="00CF2FCA"/>
    <w:p w14:paraId="74D896CE" w14:textId="77777777" w:rsidR="009630C9" w:rsidRDefault="009630C9" w:rsidP="00CF2FCA">
      <w:r>
        <w:t xml:space="preserve">This study also makes adjustments to reallocate jobs and business activity between the two regions with a finer geographical delineation. Using sub-county employment data by ZIP code, the county-level results by sector are adjusted to better reflect the industry mix in areas served by electric co-ops. </w:t>
      </w:r>
      <w:r w:rsidR="004E4EC0">
        <w:t>For example, c</w:t>
      </w:r>
      <w:r>
        <w:t xml:space="preserve">onsider the case of a Midwestern metropolitan area with the city itself served by a municipal utility and the outlying areas, including many industrial parks and most agricultural operations, served by rural co-ops. One example is Topeka, Kansas in Shawnee County. The population of Topeka is 128,000 (or 72% of Shawnee County’s 178,000). Topeka is only 60 square miles, however, and the county is 556 </w:t>
      </w:r>
      <w:r>
        <w:lastRenderedPageBreak/>
        <w:t xml:space="preserve">square miles (only 11% within the city). Co-ops serve most the area in Shawnee County outside of Topeka and industrial and agricultural output in the county but not in the city. Shawnee County is not part of “Co-op Nation” in the calculations because less than 10% of the households in the county receive their service through rural co-ops. Without this adjustment, activity ascribed to the </w:t>
      </w:r>
      <w:r w:rsidR="00626448">
        <w:t>r</w:t>
      </w:r>
      <w:r w:rsidR="004E4EC0">
        <w:t xml:space="preserve">est of USA </w:t>
      </w:r>
      <w:r>
        <w:t xml:space="preserve">region not in Co-op Nation would be an overestimation. The ZIP code-level methodology adjusts for this by ascribing a </w:t>
      </w:r>
      <w:r w:rsidR="009D6CA4">
        <w:t>percentage</w:t>
      </w:r>
      <w:r>
        <w:t xml:space="preserve"> of the county-level results by sector in each region “back” into the other region; that is, it also adjusts activity in Co-op Nation into the area not served by rural co-ops, as well. This provides better refinement of the geographical coverage for the overall change in economic output on the rural/urban split in the model. Appendix 1 provides more information on</w:t>
      </w:r>
      <w:r w:rsidR="00AA42A9">
        <w:t xml:space="preserve"> this adjustment.</w:t>
      </w:r>
    </w:p>
    <w:p w14:paraId="341E6249" w14:textId="77777777" w:rsidR="009630C9" w:rsidRDefault="009630C9" w:rsidP="00CF2FCA"/>
    <w:p w14:paraId="0CAD5155" w14:textId="77777777" w:rsidR="00CF2FCA" w:rsidRPr="008401C4" w:rsidRDefault="00CC1C9C">
      <w:pPr>
        <w:rPr>
          <w:b/>
        </w:rPr>
      </w:pPr>
      <w:r>
        <w:rPr>
          <w:b/>
        </w:rPr>
        <w:t>Characteristics of</w:t>
      </w:r>
      <w:r w:rsidR="008401C4" w:rsidRPr="008401C4">
        <w:rPr>
          <w:b/>
        </w:rPr>
        <w:t xml:space="preserve"> Co-op Nation and Vicinity and Rest of USA</w:t>
      </w:r>
    </w:p>
    <w:p w14:paraId="7015CFF1" w14:textId="77777777" w:rsidR="00CF2FCA" w:rsidRDefault="00CF2FCA" w:rsidP="00CF2FCA">
      <w:r w:rsidRPr="002F230A">
        <w:t xml:space="preserve">The two regions divide the </w:t>
      </w:r>
      <w:r w:rsidR="00BB250E">
        <w:t xml:space="preserve">country into a “rural” and “urban” </w:t>
      </w:r>
      <w:r w:rsidRPr="002F230A">
        <w:t xml:space="preserve">delineated by the relative size of the co-op presence </w:t>
      </w:r>
      <w:r w:rsidR="00BB250E">
        <w:t>within each group.</w:t>
      </w:r>
      <w:r w:rsidRPr="002F230A">
        <w:t xml:space="preserve"> </w:t>
      </w:r>
      <w:r w:rsidR="004E4EC0">
        <w:t xml:space="preserve"> </w:t>
      </w:r>
      <w:r w:rsidR="002C7D2A">
        <w:t>T</w:t>
      </w:r>
      <w:r w:rsidRPr="002F230A">
        <w:t xml:space="preserve">able </w:t>
      </w:r>
      <w:r w:rsidR="002C7D2A">
        <w:t xml:space="preserve">1 </w:t>
      </w:r>
      <w:r w:rsidRPr="002F230A">
        <w:t>breaks out some key economic indicators and their shares between the two regions. Co-op Nation</w:t>
      </w:r>
      <w:r w:rsidR="002C7D2A">
        <w:t xml:space="preserve"> and vicinity</w:t>
      </w:r>
      <w:r w:rsidRPr="002F230A">
        <w:t xml:space="preserve"> contains around one-quarter of the United States’ population and GDP </w:t>
      </w:r>
      <w:r w:rsidR="00AA42A9">
        <w:t xml:space="preserve">and </w:t>
      </w:r>
      <w:r w:rsidRPr="002F230A">
        <w:t>a disproportionate share of key industries such as manufacturing and agriculture.</w:t>
      </w:r>
    </w:p>
    <w:p w14:paraId="0FD734E2" w14:textId="77777777" w:rsidR="00315853" w:rsidRDefault="00315853" w:rsidP="00CF2FCA"/>
    <w:p w14:paraId="4E147DF8" w14:textId="77777777" w:rsidR="00315853" w:rsidRPr="00315853" w:rsidRDefault="00315853" w:rsidP="00315853">
      <w:pPr>
        <w:pStyle w:val="Caption"/>
        <w:keepNext/>
        <w:spacing w:after="0"/>
        <w:rPr>
          <w:color w:val="auto"/>
          <w:sz w:val="22"/>
        </w:rPr>
      </w:pPr>
      <w:r w:rsidRPr="00315853">
        <w:rPr>
          <w:color w:val="auto"/>
          <w:sz w:val="22"/>
        </w:rPr>
        <w:t xml:space="preserve">Table </w:t>
      </w:r>
      <w:r w:rsidRPr="00315853">
        <w:rPr>
          <w:color w:val="auto"/>
          <w:sz w:val="22"/>
        </w:rPr>
        <w:fldChar w:fldCharType="begin"/>
      </w:r>
      <w:r w:rsidRPr="00315853">
        <w:rPr>
          <w:color w:val="auto"/>
          <w:sz w:val="22"/>
        </w:rPr>
        <w:instrText xml:space="preserve"> SEQ Table \* ARABIC </w:instrText>
      </w:r>
      <w:r w:rsidRPr="00315853">
        <w:rPr>
          <w:color w:val="auto"/>
          <w:sz w:val="22"/>
        </w:rPr>
        <w:fldChar w:fldCharType="separate"/>
      </w:r>
      <w:r w:rsidR="00B75D95">
        <w:rPr>
          <w:noProof/>
          <w:color w:val="auto"/>
          <w:sz w:val="22"/>
        </w:rPr>
        <w:t>1</w:t>
      </w:r>
      <w:r w:rsidRPr="00315853">
        <w:rPr>
          <w:color w:val="auto"/>
          <w:sz w:val="22"/>
        </w:rPr>
        <w:fldChar w:fldCharType="end"/>
      </w:r>
      <w:r w:rsidR="004E4EC0">
        <w:rPr>
          <w:color w:val="auto"/>
          <w:sz w:val="22"/>
        </w:rPr>
        <w:t xml:space="preserve">   </w:t>
      </w:r>
      <w:r>
        <w:rPr>
          <w:color w:val="auto"/>
          <w:sz w:val="22"/>
        </w:rPr>
        <w:t>Economic Indicators from Two Region Model</w:t>
      </w:r>
    </w:p>
    <w:tbl>
      <w:tblPr>
        <w:tblStyle w:val="MediumShading1-Accent12"/>
        <w:tblW w:w="5000" w:type="pct"/>
        <w:tblLook w:val="04A0" w:firstRow="1" w:lastRow="0" w:firstColumn="1" w:lastColumn="0" w:noHBand="0" w:noVBand="1"/>
      </w:tblPr>
      <w:tblGrid>
        <w:gridCol w:w="3192"/>
        <w:gridCol w:w="3193"/>
        <w:gridCol w:w="3191"/>
      </w:tblGrid>
      <w:tr w:rsidR="00CF2FCA" w:rsidRPr="000C344F" w14:paraId="5D3528DB" w14:textId="77777777" w:rsidTr="00315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33171F5" w14:textId="77777777" w:rsidR="00CF2FCA" w:rsidRPr="00257DEC" w:rsidRDefault="00CF2FCA" w:rsidP="005D5AC4">
            <w:pPr>
              <w:jc w:val="center"/>
              <w:rPr>
                <w:rFonts w:ascii="Calibri" w:hAnsi="Calibri"/>
              </w:rPr>
            </w:pPr>
            <w:r>
              <w:rPr>
                <w:rFonts w:ascii="Calibri" w:hAnsi="Calibri"/>
              </w:rPr>
              <w:t>Historical Data from 2012</w:t>
            </w:r>
          </w:p>
        </w:tc>
        <w:tc>
          <w:tcPr>
            <w:tcW w:w="1667" w:type="pct"/>
          </w:tcPr>
          <w:p w14:paraId="1AED75D5" w14:textId="77777777" w:rsidR="00CF2FCA" w:rsidRPr="00257DEC" w:rsidRDefault="00CF2FCA" w:rsidP="005D5AC4">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57DEC">
              <w:rPr>
                <w:rFonts w:ascii="Calibri" w:hAnsi="Calibri"/>
              </w:rPr>
              <w:t>Co-op Nation</w:t>
            </w:r>
            <w:r w:rsidR="001A6B7D">
              <w:rPr>
                <w:rFonts w:ascii="Calibri" w:hAnsi="Calibri"/>
              </w:rPr>
              <w:t xml:space="preserve"> (and vicinity)</w:t>
            </w:r>
          </w:p>
        </w:tc>
        <w:tc>
          <w:tcPr>
            <w:tcW w:w="1666" w:type="pct"/>
          </w:tcPr>
          <w:p w14:paraId="22CE3E34" w14:textId="77777777" w:rsidR="00CF2FCA" w:rsidRPr="00257DEC" w:rsidRDefault="00CF2FCA" w:rsidP="005D5AC4">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57DEC">
              <w:rPr>
                <w:rFonts w:ascii="Calibri" w:hAnsi="Calibri"/>
              </w:rPr>
              <w:t>Rest of USA</w:t>
            </w:r>
          </w:p>
        </w:tc>
      </w:tr>
      <w:tr w:rsidR="00CF2FCA" w:rsidRPr="000C344F" w14:paraId="34186624" w14:textId="77777777" w:rsidTr="00315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B6D3CD6" w14:textId="77777777" w:rsidR="00CF2FCA" w:rsidRPr="00257DEC" w:rsidRDefault="00CF2FCA" w:rsidP="005D5AC4">
            <w:pPr>
              <w:jc w:val="center"/>
              <w:rPr>
                <w:rFonts w:ascii="Calibri" w:hAnsi="Calibri"/>
              </w:rPr>
            </w:pPr>
            <w:r w:rsidRPr="00257DEC">
              <w:rPr>
                <w:rFonts w:ascii="Calibri" w:hAnsi="Calibri"/>
              </w:rPr>
              <w:t>Employment</w:t>
            </w:r>
          </w:p>
        </w:tc>
        <w:tc>
          <w:tcPr>
            <w:tcW w:w="1667" w:type="pct"/>
          </w:tcPr>
          <w:p w14:paraId="08C3D16F" w14:textId="77777777" w:rsidR="00CF2FCA" w:rsidRPr="00257DEC" w:rsidRDefault="00CF2FCA"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47.5 million</w:t>
            </w:r>
          </w:p>
        </w:tc>
        <w:tc>
          <w:tcPr>
            <w:tcW w:w="1666" w:type="pct"/>
          </w:tcPr>
          <w:p w14:paraId="5B46542F" w14:textId="77777777" w:rsidR="00CF2FCA" w:rsidRPr="00257DEC" w:rsidRDefault="00CF2FCA"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132.1 million</w:t>
            </w:r>
          </w:p>
        </w:tc>
      </w:tr>
      <w:tr w:rsidR="00CF2FCA" w:rsidRPr="000C344F" w14:paraId="0778FB16" w14:textId="77777777" w:rsidTr="003158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7134F77" w14:textId="77777777" w:rsidR="00CF2FCA" w:rsidRPr="00257DEC" w:rsidRDefault="00CF2FCA" w:rsidP="005D5AC4">
            <w:pPr>
              <w:jc w:val="center"/>
              <w:rPr>
                <w:rFonts w:ascii="Calibri" w:hAnsi="Calibri"/>
              </w:rPr>
            </w:pPr>
            <w:r w:rsidRPr="00257DEC">
              <w:rPr>
                <w:rFonts w:ascii="Calibri" w:hAnsi="Calibri"/>
              </w:rPr>
              <w:t>GDP</w:t>
            </w:r>
          </w:p>
        </w:tc>
        <w:tc>
          <w:tcPr>
            <w:tcW w:w="1667" w:type="pct"/>
          </w:tcPr>
          <w:p w14:paraId="2ADC60A6" w14:textId="77777777" w:rsidR="00CF2FCA" w:rsidRPr="00257DEC" w:rsidRDefault="00CF2FCA"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$3.8 trillion</w:t>
            </w:r>
          </w:p>
        </w:tc>
        <w:tc>
          <w:tcPr>
            <w:tcW w:w="1666" w:type="pct"/>
          </w:tcPr>
          <w:p w14:paraId="637480AB" w14:textId="77777777" w:rsidR="00CF2FCA" w:rsidRPr="00257DEC" w:rsidRDefault="00CF2FCA"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$13.4 trillion</w:t>
            </w:r>
          </w:p>
        </w:tc>
      </w:tr>
      <w:tr w:rsidR="00CF2FCA" w:rsidRPr="000C344F" w14:paraId="13D6F912" w14:textId="77777777" w:rsidTr="00315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7454219" w14:textId="77777777" w:rsidR="00CF2FCA" w:rsidRPr="00257DEC" w:rsidRDefault="00CF2FCA" w:rsidP="005D5AC4">
            <w:pPr>
              <w:jc w:val="center"/>
              <w:rPr>
                <w:rFonts w:ascii="Calibri" w:hAnsi="Calibri"/>
              </w:rPr>
            </w:pPr>
            <w:r w:rsidRPr="00257DEC">
              <w:rPr>
                <w:rFonts w:ascii="Calibri" w:hAnsi="Calibri"/>
              </w:rPr>
              <w:t>Personal Income</w:t>
            </w:r>
          </w:p>
        </w:tc>
        <w:tc>
          <w:tcPr>
            <w:tcW w:w="1667" w:type="pct"/>
          </w:tcPr>
          <w:p w14:paraId="4705A162" w14:textId="77777777" w:rsidR="00CF2FCA" w:rsidRPr="00257DEC" w:rsidRDefault="00CF2FCA"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$3.6 trillion</w:t>
            </w:r>
          </w:p>
        </w:tc>
        <w:tc>
          <w:tcPr>
            <w:tcW w:w="1666" w:type="pct"/>
          </w:tcPr>
          <w:p w14:paraId="3E0D0072" w14:textId="77777777" w:rsidR="00CF2FCA" w:rsidRPr="00257DEC" w:rsidRDefault="00CF2FCA"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$10.7 trillion</w:t>
            </w:r>
          </w:p>
        </w:tc>
      </w:tr>
      <w:tr w:rsidR="00CF2FCA" w:rsidRPr="000C344F" w14:paraId="51FEFF1A" w14:textId="77777777" w:rsidTr="003158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91DF158" w14:textId="77777777" w:rsidR="00CF2FCA" w:rsidRPr="00257DEC" w:rsidRDefault="00CF2FCA" w:rsidP="005D5AC4">
            <w:pPr>
              <w:jc w:val="center"/>
              <w:rPr>
                <w:rFonts w:ascii="Calibri" w:hAnsi="Calibri"/>
              </w:rPr>
            </w:pPr>
            <w:r w:rsidRPr="00257DEC">
              <w:rPr>
                <w:rFonts w:ascii="Calibri" w:hAnsi="Calibri"/>
              </w:rPr>
              <w:t>Population</w:t>
            </w:r>
          </w:p>
        </w:tc>
        <w:tc>
          <w:tcPr>
            <w:tcW w:w="1667" w:type="pct"/>
          </w:tcPr>
          <w:p w14:paraId="4CC09396" w14:textId="77777777" w:rsidR="00CF2FCA" w:rsidRPr="00257DEC" w:rsidRDefault="00CF2FCA"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92 million</w:t>
            </w:r>
          </w:p>
        </w:tc>
        <w:tc>
          <w:tcPr>
            <w:tcW w:w="1666" w:type="pct"/>
          </w:tcPr>
          <w:p w14:paraId="12EABA6F" w14:textId="77777777" w:rsidR="00CF2FCA" w:rsidRPr="00257DEC" w:rsidRDefault="00CF2FCA"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222 million</w:t>
            </w:r>
          </w:p>
        </w:tc>
      </w:tr>
      <w:tr w:rsidR="00CF2FCA" w:rsidRPr="000C344F" w14:paraId="4638ABD2" w14:textId="77777777" w:rsidTr="00315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E8D6CED" w14:textId="77777777" w:rsidR="00CF2FCA" w:rsidRPr="00257DEC" w:rsidRDefault="00CF2FCA" w:rsidP="005D5AC4">
            <w:pPr>
              <w:jc w:val="center"/>
              <w:rPr>
                <w:rFonts w:ascii="Calibri" w:hAnsi="Calibri"/>
              </w:rPr>
            </w:pPr>
            <w:r>
              <w:rPr>
                <w:rFonts w:ascii="Calibri" w:hAnsi="Calibri"/>
              </w:rPr>
              <w:t>Real Income Per Capita</w:t>
            </w:r>
          </w:p>
        </w:tc>
        <w:tc>
          <w:tcPr>
            <w:tcW w:w="1667" w:type="pct"/>
          </w:tcPr>
          <w:p w14:paraId="529889D4" w14:textId="77777777" w:rsidR="00CF2FCA" w:rsidRPr="00257DEC" w:rsidRDefault="00CF2FCA"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$39,000 per year</w:t>
            </w:r>
          </w:p>
        </w:tc>
        <w:tc>
          <w:tcPr>
            <w:tcW w:w="1666" w:type="pct"/>
          </w:tcPr>
          <w:p w14:paraId="40EC59AA" w14:textId="77777777" w:rsidR="00CF2FCA" w:rsidRPr="00257DEC" w:rsidRDefault="00CF2FCA"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$48,000 per year</w:t>
            </w:r>
          </w:p>
        </w:tc>
      </w:tr>
      <w:tr w:rsidR="00CF2FCA" w:rsidRPr="000C344F" w14:paraId="150FAF7A" w14:textId="77777777" w:rsidTr="003158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72461B2" w14:textId="77777777" w:rsidR="00CF2FCA" w:rsidRPr="00257DEC" w:rsidRDefault="00CF2FCA" w:rsidP="005D5AC4">
            <w:pPr>
              <w:jc w:val="center"/>
              <w:rPr>
                <w:rFonts w:ascii="Calibri" w:hAnsi="Calibri"/>
              </w:rPr>
            </w:pPr>
            <w:r w:rsidRPr="00257DEC">
              <w:rPr>
                <w:rFonts w:ascii="Calibri" w:hAnsi="Calibri"/>
              </w:rPr>
              <w:t>MFG Employment</w:t>
            </w:r>
          </w:p>
        </w:tc>
        <w:tc>
          <w:tcPr>
            <w:tcW w:w="1667" w:type="pct"/>
          </w:tcPr>
          <w:p w14:paraId="19C4AB4E" w14:textId="77777777" w:rsidR="00CF2FCA" w:rsidRPr="00257DEC" w:rsidRDefault="00CF2FCA"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4.0 million</w:t>
            </w:r>
          </w:p>
        </w:tc>
        <w:tc>
          <w:tcPr>
            <w:tcW w:w="1666" w:type="pct"/>
          </w:tcPr>
          <w:p w14:paraId="28EC874F" w14:textId="77777777" w:rsidR="00CF2FCA" w:rsidRPr="00257DEC" w:rsidRDefault="00CF2FCA"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8.6 million</w:t>
            </w:r>
          </w:p>
        </w:tc>
      </w:tr>
      <w:tr w:rsidR="00CF2FCA" w:rsidRPr="000C344F" w14:paraId="21B97DF5" w14:textId="77777777" w:rsidTr="00315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5CBA3A1" w14:textId="77777777" w:rsidR="00CF2FCA" w:rsidRPr="00257DEC" w:rsidRDefault="00CF2FCA" w:rsidP="005D5AC4">
            <w:pPr>
              <w:jc w:val="center"/>
              <w:rPr>
                <w:rFonts w:ascii="Calibri" w:hAnsi="Calibri"/>
              </w:rPr>
            </w:pPr>
            <w:r w:rsidRPr="00257DEC">
              <w:rPr>
                <w:rFonts w:ascii="Calibri" w:hAnsi="Calibri"/>
              </w:rPr>
              <w:t>Farm Employment</w:t>
            </w:r>
          </w:p>
        </w:tc>
        <w:tc>
          <w:tcPr>
            <w:tcW w:w="1667" w:type="pct"/>
          </w:tcPr>
          <w:p w14:paraId="405115D4" w14:textId="77777777" w:rsidR="00CF2FCA" w:rsidRPr="00257DEC" w:rsidRDefault="00CF2FCA"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1.7 million</w:t>
            </w:r>
          </w:p>
        </w:tc>
        <w:tc>
          <w:tcPr>
            <w:tcW w:w="1666" w:type="pct"/>
          </w:tcPr>
          <w:p w14:paraId="01BF44A7" w14:textId="77777777" w:rsidR="00CF2FCA" w:rsidRPr="00257DEC" w:rsidRDefault="00CF2FCA"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940,000</w:t>
            </w:r>
          </w:p>
        </w:tc>
      </w:tr>
    </w:tbl>
    <w:p w14:paraId="6421D7D3" w14:textId="77777777" w:rsidR="00CF2FCA" w:rsidRDefault="00CF2FCA"/>
    <w:tbl>
      <w:tblPr>
        <w:tblStyle w:val="MediumShading1-Accent2"/>
        <w:tblW w:w="5000" w:type="pct"/>
        <w:tblLook w:val="04A0" w:firstRow="1" w:lastRow="0" w:firstColumn="1" w:lastColumn="0" w:noHBand="0" w:noVBand="1"/>
      </w:tblPr>
      <w:tblGrid>
        <w:gridCol w:w="3192"/>
        <w:gridCol w:w="3193"/>
        <w:gridCol w:w="3191"/>
      </w:tblGrid>
      <w:tr w:rsidR="00581C82" w14:paraId="25DD7845" w14:textId="77777777" w:rsidTr="005D5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161B6DD" w14:textId="77777777" w:rsidR="00581C82" w:rsidRPr="00257DEC" w:rsidRDefault="00581C82" w:rsidP="005D5AC4">
            <w:pPr>
              <w:jc w:val="center"/>
              <w:rPr>
                <w:rFonts w:ascii="Calibri" w:hAnsi="Calibri"/>
              </w:rPr>
            </w:pPr>
            <w:r>
              <w:rPr>
                <w:rFonts w:ascii="Calibri" w:hAnsi="Calibri"/>
              </w:rPr>
              <w:t>Historical Data from 2012</w:t>
            </w:r>
          </w:p>
        </w:tc>
        <w:tc>
          <w:tcPr>
            <w:tcW w:w="1667" w:type="pct"/>
          </w:tcPr>
          <w:p w14:paraId="1CB0DD68" w14:textId="77777777" w:rsidR="00581C82" w:rsidRPr="00257DEC" w:rsidRDefault="00581C82" w:rsidP="005D5AC4">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57DEC">
              <w:rPr>
                <w:rFonts w:ascii="Calibri" w:hAnsi="Calibri"/>
              </w:rPr>
              <w:t>Co-op Nation</w:t>
            </w:r>
            <w:r w:rsidR="00EC5FCC">
              <w:rPr>
                <w:rFonts w:ascii="Calibri" w:hAnsi="Calibri"/>
              </w:rPr>
              <w:t xml:space="preserve"> (and vicinity)</w:t>
            </w:r>
          </w:p>
        </w:tc>
        <w:tc>
          <w:tcPr>
            <w:tcW w:w="1667" w:type="pct"/>
          </w:tcPr>
          <w:p w14:paraId="482A9D33" w14:textId="77777777" w:rsidR="00581C82" w:rsidRPr="00257DEC" w:rsidRDefault="00581C82" w:rsidP="005D5AC4">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57DEC">
              <w:rPr>
                <w:rFonts w:ascii="Calibri" w:hAnsi="Calibri"/>
              </w:rPr>
              <w:t>Rest of USA</w:t>
            </w:r>
          </w:p>
        </w:tc>
      </w:tr>
      <w:tr w:rsidR="00581C82" w14:paraId="1D26F77D"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C5BBCD8" w14:textId="77777777" w:rsidR="00581C82" w:rsidRPr="00257DEC" w:rsidRDefault="00581C82" w:rsidP="005D5AC4">
            <w:pPr>
              <w:jc w:val="center"/>
              <w:rPr>
                <w:rFonts w:ascii="Calibri" w:hAnsi="Calibri"/>
              </w:rPr>
            </w:pPr>
            <w:r w:rsidRPr="00257DEC">
              <w:rPr>
                <w:rFonts w:ascii="Calibri" w:hAnsi="Calibri"/>
              </w:rPr>
              <w:t>Employment</w:t>
            </w:r>
          </w:p>
        </w:tc>
        <w:tc>
          <w:tcPr>
            <w:tcW w:w="1667" w:type="pct"/>
          </w:tcPr>
          <w:p w14:paraId="266872C7" w14:textId="77777777" w:rsidR="00581C82" w:rsidRPr="00257DEC" w:rsidRDefault="00581C82"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26%</w:t>
            </w:r>
          </w:p>
        </w:tc>
        <w:tc>
          <w:tcPr>
            <w:tcW w:w="1667" w:type="pct"/>
          </w:tcPr>
          <w:p w14:paraId="1007FAA3" w14:textId="77777777" w:rsidR="00581C82" w:rsidRPr="00257DEC" w:rsidRDefault="00581C82"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74%</w:t>
            </w:r>
          </w:p>
        </w:tc>
      </w:tr>
      <w:tr w:rsidR="00581C82" w14:paraId="079E5FB1"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AF139B1" w14:textId="77777777" w:rsidR="00581C82" w:rsidRPr="00257DEC" w:rsidRDefault="00581C82" w:rsidP="005D5AC4">
            <w:pPr>
              <w:jc w:val="center"/>
              <w:rPr>
                <w:rFonts w:ascii="Calibri" w:hAnsi="Calibri"/>
              </w:rPr>
            </w:pPr>
            <w:r w:rsidRPr="00257DEC">
              <w:rPr>
                <w:rFonts w:ascii="Calibri" w:hAnsi="Calibri"/>
              </w:rPr>
              <w:t>GDP</w:t>
            </w:r>
          </w:p>
        </w:tc>
        <w:tc>
          <w:tcPr>
            <w:tcW w:w="1667" w:type="pct"/>
          </w:tcPr>
          <w:p w14:paraId="133F3FDA" w14:textId="77777777" w:rsidR="00581C82" w:rsidRPr="00257DEC" w:rsidRDefault="00581C82"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23%</w:t>
            </w:r>
          </w:p>
        </w:tc>
        <w:tc>
          <w:tcPr>
            <w:tcW w:w="1667" w:type="pct"/>
          </w:tcPr>
          <w:p w14:paraId="7C814E1B" w14:textId="77777777" w:rsidR="00581C82" w:rsidRPr="00257DEC" w:rsidRDefault="00581C82"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77%</w:t>
            </w:r>
          </w:p>
        </w:tc>
      </w:tr>
      <w:tr w:rsidR="00581C82" w14:paraId="4E7773B5"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1C9C2C5" w14:textId="77777777" w:rsidR="00581C82" w:rsidRPr="00257DEC" w:rsidRDefault="00581C82" w:rsidP="005D5AC4">
            <w:pPr>
              <w:jc w:val="center"/>
              <w:rPr>
                <w:rFonts w:ascii="Calibri" w:hAnsi="Calibri"/>
              </w:rPr>
            </w:pPr>
            <w:r w:rsidRPr="00257DEC">
              <w:rPr>
                <w:rFonts w:ascii="Calibri" w:hAnsi="Calibri"/>
              </w:rPr>
              <w:t>Personal Income</w:t>
            </w:r>
          </w:p>
        </w:tc>
        <w:tc>
          <w:tcPr>
            <w:tcW w:w="1667" w:type="pct"/>
          </w:tcPr>
          <w:p w14:paraId="1441E59F" w14:textId="77777777" w:rsidR="00581C82" w:rsidRPr="00257DEC" w:rsidRDefault="00581C82"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25%</w:t>
            </w:r>
          </w:p>
        </w:tc>
        <w:tc>
          <w:tcPr>
            <w:tcW w:w="1667" w:type="pct"/>
          </w:tcPr>
          <w:p w14:paraId="3F12C760" w14:textId="77777777" w:rsidR="00581C82" w:rsidRPr="00257DEC" w:rsidRDefault="00581C82"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75%</w:t>
            </w:r>
          </w:p>
        </w:tc>
      </w:tr>
      <w:tr w:rsidR="00581C82" w14:paraId="58241C94"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79ECBAE" w14:textId="77777777" w:rsidR="00581C82" w:rsidRPr="00257DEC" w:rsidRDefault="00581C82" w:rsidP="005D5AC4">
            <w:pPr>
              <w:jc w:val="center"/>
              <w:rPr>
                <w:rFonts w:ascii="Calibri" w:hAnsi="Calibri"/>
              </w:rPr>
            </w:pPr>
            <w:r w:rsidRPr="00257DEC">
              <w:rPr>
                <w:rFonts w:ascii="Calibri" w:hAnsi="Calibri"/>
              </w:rPr>
              <w:t>Population</w:t>
            </w:r>
          </w:p>
        </w:tc>
        <w:tc>
          <w:tcPr>
            <w:tcW w:w="1667" w:type="pct"/>
          </w:tcPr>
          <w:p w14:paraId="01F8C5C1" w14:textId="77777777" w:rsidR="00581C82" w:rsidRPr="00257DEC" w:rsidRDefault="00581C82"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29%</w:t>
            </w:r>
          </w:p>
        </w:tc>
        <w:tc>
          <w:tcPr>
            <w:tcW w:w="1667" w:type="pct"/>
          </w:tcPr>
          <w:p w14:paraId="3FC73409" w14:textId="77777777" w:rsidR="00581C82" w:rsidRPr="00257DEC" w:rsidRDefault="00581C82"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71%</w:t>
            </w:r>
          </w:p>
        </w:tc>
      </w:tr>
      <w:tr w:rsidR="00581C82" w14:paraId="04FBE8B1"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C694C67" w14:textId="77777777" w:rsidR="00581C82" w:rsidRPr="00257DEC" w:rsidRDefault="00581C82" w:rsidP="005D5AC4">
            <w:pPr>
              <w:jc w:val="center"/>
              <w:rPr>
                <w:rFonts w:ascii="Calibri" w:hAnsi="Calibri"/>
              </w:rPr>
            </w:pPr>
            <w:r>
              <w:rPr>
                <w:rFonts w:ascii="Calibri" w:hAnsi="Calibri"/>
              </w:rPr>
              <w:t>Real Income Per Capita</w:t>
            </w:r>
          </w:p>
        </w:tc>
        <w:tc>
          <w:tcPr>
            <w:tcW w:w="1667" w:type="pct"/>
          </w:tcPr>
          <w:p w14:paraId="6EA5082C" w14:textId="77777777" w:rsidR="00581C82" w:rsidRPr="00257DEC" w:rsidRDefault="00581C82"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81% of Rest of USA</w:t>
            </w:r>
          </w:p>
        </w:tc>
        <w:tc>
          <w:tcPr>
            <w:tcW w:w="1667" w:type="pct"/>
          </w:tcPr>
          <w:p w14:paraId="4C376A75" w14:textId="77777777" w:rsidR="00581C82" w:rsidRPr="00257DEC" w:rsidRDefault="00581C82"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t>
            </w:r>
          </w:p>
        </w:tc>
      </w:tr>
      <w:tr w:rsidR="00581C82" w14:paraId="0249EDF3"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F1A8E24" w14:textId="77777777" w:rsidR="00581C82" w:rsidRPr="00257DEC" w:rsidRDefault="00581C82" w:rsidP="005D5AC4">
            <w:pPr>
              <w:jc w:val="center"/>
              <w:rPr>
                <w:rFonts w:ascii="Calibri" w:hAnsi="Calibri"/>
              </w:rPr>
            </w:pPr>
            <w:r w:rsidRPr="00257DEC">
              <w:rPr>
                <w:rFonts w:ascii="Calibri" w:hAnsi="Calibri"/>
              </w:rPr>
              <w:t>MFG Employment</w:t>
            </w:r>
          </w:p>
        </w:tc>
        <w:tc>
          <w:tcPr>
            <w:tcW w:w="1667" w:type="pct"/>
          </w:tcPr>
          <w:p w14:paraId="48CBCBA0" w14:textId="77777777" w:rsidR="00581C82" w:rsidRPr="00257DEC" w:rsidRDefault="00581C82"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32%</w:t>
            </w:r>
          </w:p>
        </w:tc>
        <w:tc>
          <w:tcPr>
            <w:tcW w:w="1667" w:type="pct"/>
          </w:tcPr>
          <w:p w14:paraId="4D4F9D14" w14:textId="77777777" w:rsidR="00581C82" w:rsidRPr="00257DEC" w:rsidRDefault="00581C82"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sidRPr="00257DEC">
              <w:rPr>
                <w:rFonts w:ascii="Calibri" w:hAnsi="Calibri"/>
              </w:rPr>
              <w:t>68%</w:t>
            </w:r>
          </w:p>
        </w:tc>
      </w:tr>
      <w:tr w:rsidR="00581C82" w14:paraId="2C36286A"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93A230B" w14:textId="77777777" w:rsidR="00581C82" w:rsidRPr="00257DEC" w:rsidRDefault="00581C82" w:rsidP="005D5AC4">
            <w:pPr>
              <w:jc w:val="center"/>
              <w:rPr>
                <w:rFonts w:ascii="Calibri" w:hAnsi="Calibri"/>
              </w:rPr>
            </w:pPr>
            <w:r w:rsidRPr="00257DEC">
              <w:rPr>
                <w:rFonts w:ascii="Calibri" w:hAnsi="Calibri"/>
              </w:rPr>
              <w:t>Farm Employment</w:t>
            </w:r>
          </w:p>
        </w:tc>
        <w:tc>
          <w:tcPr>
            <w:tcW w:w="1667" w:type="pct"/>
          </w:tcPr>
          <w:p w14:paraId="765F5DCC" w14:textId="77777777" w:rsidR="00581C82" w:rsidRPr="00257DEC" w:rsidRDefault="00581C82"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64%</w:t>
            </w:r>
          </w:p>
        </w:tc>
        <w:tc>
          <w:tcPr>
            <w:tcW w:w="1667" w:type="pct"/>
          </w:tcPr>
          <w:p w14:paraId="439E552B" w14:textId="77777777" w:rsidR="00581C82" w:rsidRPr="00257DEC" w:rsidRDefault="00581C82"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57DEC">
              <w:rPr>
                <w:rFonts w:ascii="Calibri" w:hAnsi="Calibri"/>
              </w:rPr>
              <w:t>36%</w:t>
            </w:r>
          </w:p>
        </w:tc>
      </w:tr>
    </w:tbl>
    <w:p w14:paraId="34B94386" w14:textId="77777777" w:rsidR="00581C82" w:rsidRDefault="00581C82" w:rsidP="00811E1F">
      <w:pPr>
        <w:pStyle w:val="Heading2"/>
        <w:rPr>
          <w:rFonts w:asciiTheme="minorHAnsi" w:hAnsiTheme="minorHAnsi" w:cstheme="minorHAnsi"/>
          <w:color w:val="auto"/>
          <w:sz w:val="22"/>
        </w:rPr>
      </w:pPr>
    </w:p>
    <w:p w14:paraId="42603D6D" w14:textId="77777777" w:rsidR="00811E1F" w:rsidRPr="00DC1D54" w:rsidRDefault="005A78FB" w:rsidP="00811E1F">
      <w:pPr>
        <w:pStyle w:val="Heading2"/>
        <w:rPr>
          <w:rFonts w:asciiTheme="minorHAnsi" w:hAnsiTheme="minorHAnsi" w:cstheme="minorHAnsi"/>
          <w:color w:val="auto"/>
          <w:sz w:val="22"/>
        </w:rPr>
      </w:pPr>
      <w:r>
        <w:rPr>
          <w:rFonts w:asciiTheme="minorHAnsi" w:hAnsiTheme="minorHAnsi" w:cstheme="minorHAnsi"/>
          <w:color w:val="auto"/>
          <w:sz w:val="22"/>
        </w:rPr>
        <w:t>Co-op Nation and V</w:t>
      </w:r>
      <w:r w:rsidR="00581C82">
        <w:rPr>
          <w:rFonts w:asciiTheme="minorHAnsi" w:hAnsiTheme="minorHAnsi" w:cstheme="minorHAnsi"/>
          <w:color w:val="auto"/>
          <w:sz w:val="22"/>
        </w:rPr>
        <w:t>icinity is</w:t>
      </w:r>
      <w:r w:rsidR="00481FBD">
        <w:rPr>
          <w:rFonts w:asciiTheme="minorHAnsi" w:hAnsiTheme="minorHAnsi" w:cstheme="minorHAnsi"/>
          <w:color w:val="auto"/>
          <w:sz w:val="22"/>
        </w:rPr>
        <w:t xml:space="preserve"> m</w:t>
      </w:r>
      <w:r w:rsidR="00DC1D54" w:rsidRPr="00DC1D54">
        <w:rPr>
          <w:rFonts w:asciiTheme="minorHAnsi" w:hAnsiTheme="minorHAnsi" w:cstheme="minorHAnsi"/>
          <w:color w:val="auto"/>
          <w:sz w:val="22"/>
        </w:rPr>
        <w:t>ore Electricity I</w:t>
      </w:r>
      <w:r w:rsidR="005558CC">
        <w:rPr>
          <w:rFonts w:asciiTheme="minorHAnsi" w:hAnsiTheme="minorHAnsi" w:cstheme="minorHAnsi"/>
          <w:color w:val="auto"/>
          <w:sz w:val="22"/>
        </w:rPr>
        <w:t>ntensive than the Rest of U.S.</w:t>
      </w:r>
      <w:r w:rsidR="00DC1D54" w:rsidRPr="00DC1D54">
        <w:rPr>
          <w:rFonts w:asciiTheme="minorHAnsi" w:hAnsiTheme="minorHAnsi" w:cstheme="minorHAnsi"/>
          <w:color w:val="auto"/>
          <w:sz w:val="22"/>
        </w:rPr>
        <w:t xml:space="preserve"> </w:t>
      </w:r>
    </w:p>
    <w:p w14:paraId="01215EF6" w14:textId="77777777" w:rsidR="004E4EC0" w:rsidRPr="00254CE5" w:rsidRDefault="000D733F" w:rsidP="00695E2E">
      <w:pPr>
        <w:rPr>
          <w:rFonts w:ascii="Calibri" w:hAnsi="Calibri"/>
        </w:rPr>
      </w:pPr>
      <w:r>
        <w:t>T</w:t>
      </w:r>
      <w:r w:rsidR="004E4EC0">
        <w:t>he industry mixture in the</w:t>
      </w:r>
      <w:r w:rsidR="00811E1F">
        <w:t xml:space="preserve"> Co-op Nation counties suggests the potential for greater sensitivity to fluctuations in </w:t>
      </w:r>
      <w:r>
        <w:t>electricity prices.</w:t>
      </w:r>
      <w:r w:rsidR="00811E1F">
        <w:t xml:space="preserve"> </w:t>
      </w:r>
      <w:r w:rsidR="00B12E49">
        <w:t xml:space="preserve">This is because the industry make-up of Co-op Nation and vicinity requires more </w:t>
      </w:r>
      <w:r w:rsidR="00CC0EBC">
        <w:t xml:space="preserve">purchased </w:t>
      </w:r>
      <w:r w:rsidR="00B12E49">
        <w:t xml:space="preserve">electricity to produce goods and services than the composition of industry in the rest of the nation.  </w:t>
      </w:r>
    </w:p>
    <w:p w14:paraId="7844A71B" w14:textId="77777777" w:rsidR="004E4EC0" w:rsidRDefault="004E4EC0" w:rsidP="00695E2E"/>
    <w:p w14:paraId="7CCBA94C" w14:textId="77777777" w:rsidR="00314FAF" w:rsidRDefault="00314FAF" w:rsidP="00695E2E">
      <w:r>
        <w:lastRenderedPageBreak/>
        <w:t>For 2012, the data in Table 2 shows electricity purchases as an input to the average dollar of output by region. Across all businesses and industries in 2012, those in Co-op Nation and vicinity required 34% more electricity (in terms of dollar</w:t>
      </w:r>
      <w:r w:rsidR="00CC1C9C">
        <w:t xml:space="preserve"> expenditures</w:t>
      </w:r>
      <w:r>
        <w:t xml:space="preserve">) as an input than the businesses and industries in the rest of the U.S.  </w:t>
      </w:r>
      <w:r w:rsidRPr="00F00A17">
        <w:t xml:space="preserve">The difference is not efficiency, climate, or any set of policies, but </w:t>
      </w:r>
      <w:r w:rsidR="00BB250E">
        <w:t xml:space="preserve">rather </w:t>
      </w:r>
      <w:r w:rsidRPr="00F00A17">
        <w:t xml:space="preserve">the calculation that Co-op Nation </w:t>
      </w:r>
      <w:r>
        <w:t xml:space="preserve">and vicinity </w:t>
      </w:r>
      <w:r w:rsidRPr="00F00A17">
        <w:t>has a higher concentration of enterprises that need more electricity inputs.</w:t>
      </w:r>
    </w:p>
    <w:p w14:paraId="2C2AC2F8" w14:textId="77777777" w:rsidR="00314FAF" w:rsidRDefault="00314FAF" w:rsidP="00695E2E"/>
    <w:p w14:paraId="7F866F65" w14:textId="77777777" w:rsidR="00481FBD" w:rsidRDefault="00ED62E3" w:rsidP="00695E2E">
      <w:r>
        <w:t xml:space="preserve">The second column of Table 2 identifies the </w:t>
      </w:r>
      <w:r w:rsidR="009D6CA4">
        <w:t>percent</w:t>
      </w:r>
      <w:r w:rsidR="00314FAF">
        <w:t xml:space="preserve">age of consumer spending </w:t>
      </w:r>
      <w:r w:rsidR="0056331B">
        <w:t>on</w:t>
      </w:r>
      <w:r w:rsidR="00314FAF">
        <w:t xml:space="preserve"> electricity by region.</w:t>
      </w:r>
      <w:r w:rsidR="0056331B">
        <w:t xml:space="preserve">  It indicates that </w:t>
      </w:r>
      <w:r w:rsidR="004E4EC0">
        <w:t>households in Co-op Nation</w:t>
      </w:r>
      <w:r w:rsidR="0056331B">
        <w:t xml:space="preserve"> and vicinity</w:t>
      </w:r>
      <w:r w:rsidR="004E4EC0">
        <w:t xml:space="preserve"> also tend to use more electricity than their urban counterparts</w:t>
      </w:r>
      <w:r w:rsidR="00CC1C9C">
        <w:t>.  This is</w:t>
      </w:r>
      <w:r w:rsidR="004E4EC0">
        <w:t xml:space="preserve"> </w:t>
      </w:r>
      <w:r w:rsidR="004E4EC0" w:rsidRPr="004E09BF">
        <w:rPr>
          <w:rFonts w:ascii="Calibri" w:hAnsi="Calibri"/>
        </w:rPr>
        <w:t>due to the prevalence of detached single unit homes</w:t>
      </w:r>
      <w:r w:rsidR="009D6CA4">
        <w:rPr>
          <w:rFonts w:ascii="Calibri" w:hAnsi="Calibri"/>
        </w:rPr>
        <w:t>,</w:t>
      </w:r>
      <w:r w:rsidR="004E4EC0">
        <w:rPr>
          <w:rFonts w:ascii="Calibri" w:hAnsi="Calibri"/>
        </w:rPr>
        <w:t xml:space="preserve"> </w:t>
      </w:r>
      <w:r w:rsidR="004E4EC0" w:rsidRPr="004E09BF">
        <w:rPr>
          <w:rFonts w:ascii="Calibri" w:hAnsi="Calibri"/>
        </w:rPr>
        <w:t>a disproportionate share of energy inefficient and difficult to upgrade manufactured housing</w:t>
      </w:r>
      <w:r w:rsidR="009D6CA4">
        <w:rPr>
          <w:rFonts w:ascii="Calibri" w:hAnsi="Calibri"/>
        </w:rPr>
        <w:t>, and a greater reliance on electric appliances due to lack of natural gas infrastructure</w:t>
      </w:r>
      <w:r w:rsidR="004E4EC0" w:rsidRPr="004E09BF">
        <w:rPr>
          <w:rFonts w:ascii="Calibri" w:hAnsi="Calibri"/>
        </w:rPr>
        <w:t>.</w:t>
      </w:r>
      <w:r w:rsidR="004E4EC0">
        <w:rPr>
          <w:rFonts w:ascii="Calibri" w:hAnsi="Calibri"/>
        </w:rPr>
        <w:t xml:space="preserve"> Most of these households are located in geographic regions requiring significant air conditioning requirements</w:t>
      </w:r>
      <w:r w:rsidR="009D6CA4">
        <w:rPr>
          <w:rFonts w:ascii="Calibri" w:hAnsi="Calibri"/>
        </w:rPr>
        <w:t>, a major driver of electricity demand</w:t>
      </w:r>
      <w:r w:rsidR="004E4EC0">
        <w:rPr>
          <w:rFonts w:ascii="Calibri" w:hAnsi="Calibri"/>
        </w:rPr>
        <w:t xml:space="preserve">. </w:t>
      </w:r>
      <w:r w:rsidR="009D6CA4">
        <w:t xml:space="preserve">As a result, </w:t>
      </w:r>
      <w:r w:rsidR="00BB250E">
        <w:t xml:space="preserve">Co-op Nation’s </w:t>
      </w:r>
      <w:r w:rsidR="00F00A17">
        <w:t>residential households</w:t>
      </w:r>
      <w:r w:rsidR="009D6CA4">
        <w:t>’</w:t>
      </w:r>
      <w:r w:rsidR="00F00A17">
        <w:t xml:space="preserve"> share of expenditures </w:t>
      </w:r>
      <w:r w:rsidR="00481FBD">
        <w:t xml:space="preserve">spent </w:t>
      </w:r>
      <w:r w:rsidR="00F00A17">
        <w:t xml:space="preserve">on electricity </w:t>
      </w:r>
      <w:r w:rsidR="00CC1C9C">
        <w:t>exceeds that of r</w:t>
      </w:r>
      <w:r w:rsidR="00481FBD">
        <w:t xml:space="preserve">est of U.S. (1.72% </w:t>
      </w:r>
      <w:r w:rsidR="00CC1C9C">
        <w:t>and 1.45% for Co-op Nation and r</w:t>
      </w:r>
      <w:r w:rsidR="00481FBD">
        <w:t>est of U.S., respectively</w:t>
      </w:r>
      <w:r w:rsidR="005558CC">
        <w:t>)</w:t>
      </w:r>
      <w:r w:rsidR="00481FBD">
        <w:t>.</w:t>
      </w:r>
    </w:p>
    <w:p w14:paraId="636C6495" w14:textId="77777777" w:rsidR="008401C4" w:rsidRDefault="008401C4" w:rsidP="00695E2E"/>
    <w:p w14:paraId="505BA1BD" w14:textId="77777777" w:rsidR="008401C4" w:rsidRPr="008401C4" w:rsidRDefault="008401C4" w:rsidP="00695E2E">
      <w:pPr>
        <w:rPr>
          <w:b/>
        </w:rPr>
      </w:pPr>
      <w:r w:rsidRPr="008401C4">
        <w:rPr>
          <w:b/>
        </w:rPr>
        <w:t xml:space="preserve">Table 2   Co-op Nation and Vicinity More Electricity Intensive than the Rest of U.S. </w:t>
      </w:r>
      <w:r w:rsidR="006925DF">
        <w:rPr>
          <w:rStyle w:val="FootnoteReference"/>
        </w:rPr>
        <w:footnoteReference w:id="5"/>
      </w:r>
    </w:p>
    <w:tbl>
      <w:tblPr>
        <w:tblStyle w:val="MediumShading1-Accent5"/>
        <w:tblW w:w="0" w:type="auto"/>
        <w:tblInd w:w="108" w:type="dxa"/>
        <w:tblLook w:val="04A0" w:firstRow="1" w:lastRow="0" w:firstColumn="1" w:lastColumn="0" w:noHBand="0" w:noVBand="1"/>
      </w:tblPr>
      <w:tblGrid>
        <w:gridCol w:w="3084"/>
        <w:gridCol w:w="3192"/>
        <w:gridCol w:w="2994"/>
      </w:tblGrid>
      <w:tr w:rsidR="008401C4" w14:paraId="01B8E6A0" w14:textId="77777777" w:rsidTr="00840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6658A1EE" w14:textId="77777777" w:rsidR="008401C4" w:rsidRPr="002F634F" w:rsidRDefault="008401C4" w:rsidP="005D5AC4">
            <w:pPr>
              <w:jc w:val="center"/>
              <w:rPr>
                <w:rFonts w:ascii="Calibri" w:hAnsi="Calibri"/>
              </w:rPr>
            </w:pPr>
            <w:r>
              <w:rPr>
                <w:rFonts w:ascii="Calibri" w:hAnsi="Calibri"/>
              </w:rPr>
              <w:t>Region</w:t>
            </w:r>
          </w:p>
        </w:tc>
        <w:tc>
          <w:tcPr>
            <w:tcW w:w="3192" w:type="dxa"/>
            <w:vAlign w:val="center"/>
          </w:tcPr>
          <w:p w14:paraId="7149123B" w14:textId="77777777" w:rsidR="008401C4" w:rsidRPr="002F634F" w:rsidRDefault="008401C4" w:rsidP="005D5AC4">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F634F">
              <w:rPr>
                <w:rFonts w:ascii="Calibri" w:hAnsi="Calibri"/>
              </w:rPr>
              <w:t xml:space="preserve">Electricity </w:t>
            </w:r>
            <w:r>
              <w:rPr>
                <w:rFonts w:ascii="Calibri" w:hAnsi="Calibri"/>
              </w:rPr>
              <w:t>inputs as a share of output by region</w:t>
            </w:r>
          </w:p>
        </w:tc>
        <w:tc>
          <w:tcPr>
            <w:tcW w:w="2994" w:type="dxa"/>
            <w:vAlign w:val="center"/>
          </w:tcPr>
          <w:p w14:paraId="1B4D5B6B" w14:textId="77777777" w:rsidR="008401C4" w:rsidRPr="002F634F" w:rsidRDefault="008401C4">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Electricity as a </w:t>
            </w:r>
            <w:r w:rsidR="009D6CA4">
              <w:rPr>
                <w:rFonts w:ascii="Calibri" w:hAnsi="Calibri"/>
              </w:rPr>
              <w:t>percentage</w:t>
            </w:r>
            <w:r>
              <w:rPr>
                <w:rFonts w:ascii="Calibri" w:hAnsi="Calibri"/>
              </w:rPr>
              <w:t xml:space="preserve"> of consumer spending</w:t>
            </w:r>
          </w:p>
        </w:tc>
      </w:tr>
      <w:tr w:rsidR="008401C4" w14:paraId="41C7D3F8" w14:textId="77777777" w:rsidTr="0084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2D7437EE" w14:textId="77777777" w:rsidR="008401C4" w:rsidRPr="002F634F" w:rsidRDefault="008401C4" w:rsidP="005D5AC4">
            <w:pPr>
              <w:jc w:val="center"/>
              <w:rPr>
                <w:rFonts w:ascii="Calibri" w:hAnsi="Calibri"/>
              </w:rPr>
            </w:pPr>
            <w:r>
              <w:rPr>
                <w:rFonts w:ascii="Calibri" w:hAnsi="Calibri"/>
              </w:rPr>
              <w:t>Co-op Nation</w:t>
            </w:r>
          </w:p>
        </w:tc>
        <w:tc>
          <w:tcPr>
            <w:tcW w:w="3192" w:type="dxa"/>
            <w:vAlign w:val="center"/>
          </w:tcPr>
          <w:p w14:paraId="5E927AF4" w14:textId="77777777" w:rsidR="008401C4" w:rsidRPr="002F634F" w:rsidRDefault="008401C4"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0.81%</w:t>
            </w:r>
          </w:p>
        </w:tc>
        <w:tc>
          <w:tcPr>
            <w:tcW w:w="2994" w:type="dxa"/>
            <w:vAlign w:val="center"/>
          </w:tcPr>
          <w:p w14:paraId="3483DD26" w14:textId="77777777" w:rsidR="008401C4" w:rsidRPr="002F634F" w:rsidRDefault="008401C4" w:rsidP="005D5AC4">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1.72%</w:t>
            </w:r>
          </w:p>
        </w:tc>
      </w:tr>
      <w:tr w:rsidR="008401C4" w14:paraId="5E7FBA15" w14:textId="77777777" w:rsidTr="008401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2A1BB0C7" w14:textId="77777777" w:rsidR="008401C4" w:rsidRPr="002F634F" w:rsidRDefault="008401C4" w:rsidP="005D5AC4">
            <w:pPr>
              <w:jc w:val="center"/>
              <w:rPr>
                <w:rFonts w:ascii="Calibri" w:hAnsi="Calibri"/>
              </w:rPr>
            </w:pPr>
            <w:r>
              <w:rPr>
                <w:rFonts w:ascii="Calibri" w:hAnsi="Calibri"/>
              </w:rPr>
              <w:t>Rest of United States</w:t>
            </w:r>
          </w:p>
        </w:tc>
        <w:tc>
          <w:tcPr>
            <w:tcW w:w="3192" w:type="dxa"/>
            <w:vAlign w:val="center"/>
          </w:tcPr>
          <w:p w14:paraId="03599A6A" w14:textId="77777777" w:rsidR="008401C4" w:rsidRPr="002F634F" w:rsidRDefault="008401C4"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rPr>
              <w:t>0.60%</w:t>
            </w:r>
          </w:p>
        </w:tc>
        <w:tc>
          <w:tcPr>
            <w:tcW w:w="2994" w:type="dxa"/>
            <w:vAlign w:val="center"/>
          </w:tcPr>
          <w:p w14:paraId="1F857900" w14:textId="77777777" w:rsidR="008401C4" w:rsidRPr="002F634F" w:rsidRDefault="008401C4" w:rsidP="005D5AC4">
            <w:pPr>
              <w:jc w:val="center"/>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rPr>
              <w:t>1.45%</w:t>
            </w:r>
          </w:p>
        </w:tc>
      </w:tr>
    </w:tbl>
    <w:p w14:paraId="6512A399" w14:textId="77777777" w:rsidR="008401C4" w:rsidRDefault="008401C4" w:rsidP="00695E2E"/>
    <w:p w14:paraId="171B1AF9" w14:textId="77777777" w:rsidR="00481FBD" w:rsidRDefault="00481FBD" w:rsidP="00695E2E"/>
    <w:p w14:paraId="05E675A3" w14:textId="77777777" w:rsidR="00FE0117" w:rsidRPr="00FE0117" w:rsidRDefault="00CC1C9C" w:rsidP="005558CC">
      <w:pPr>
        <w:rPr>
          <w:b/>
        </w:rPr>
      </w:pPr>
      <w:r>
        <w:rPr>
          <w:b/>
        </w:rPr>
        <w:t xml:space="preserve">Simulation </w:t>
      </w:r>
      <w:r w:rsidR="00061BE0">
        <w:rPr>
          <w:b/>
        </w:rPr>
        <w:t>Methodology</w:t>
      </w:r>
    </w:p>
    <w:p w14:paraId="753BA403" w14:textId="77777777" w:rsidR="005558CC" w:rsidRDefault="005558CC" w:rsidP="005558CC">
      <w:r>
        <w:t xml:space="preserve">REMI </w:t>
      </w:r>
      <w:r w:rsidR="00FE0117">
        <w:t xml:space="preserve">simulated </w:t>
      </w:r>
      <w:r>
        <w:t xml:space="preserve">both a 10% and 25% </w:t>
      </w:r>
      <w:r w:rsidRPr="00022572">
        <w:t>increase</w:t>
      </w:r>
      <w:r>
        <w:t xml:space="preserve"> in electricity prices </w:t>
      </w:r>
      <w:r w:rsidR="00FE0117">
        <w:t xml:space="preserve">over the </w:t>
      </w:r>
      <w:r w:rsidR="00CD1B3B">
        <w:t>2016</w:t>
      </w:r>
      <w:r w:rsidR="00FE0117">
        <w:t xml:space="preserve"> – 2040 period and measured the impacts </w:t>
      </w:r>
      <w:r>
        <w:t>from the baseline</w:t>
      </w:r>
      <w:r w:rsidR="009C659C">
        <w:t xml:space="preserve"> </w:t>
      </w:r>
      <w:r w:rsidR="00CC1C9C">
        <w:t xml:space="preserve">or </w:t>
      </w:r>
      <w:r w:rsidR="009C659C">
        <w:t>business-as-</w:t>
      </w:r>
      <w:r w:rsidR="00CC1C9C">
        <w:t xml:space="preserve">usual </w:t>
      </w:r>
      <w:r w:rsidR="00FE0117">
        <w:t>forecast</w:t>
      </w:r>
      <w:r>
        <w:t xml:space="preserve">. </w:t>
      </w:r>
      <w:r w:rsidR="00FE0117">
        <w:t xml:space="preserve"> </w:t>
      </w:r>
      <w:r>
        <w:t xml:space="preserve">All </w:t>
      </w:r>
      <w:r w:rsidR="009C659C">
        <w:t xml:space="preserve">price </w:t>
      </w:r>
      <w:r>
        <w:t xml:space="preserve">changes begin in 2016 and phase in at a linear rate from 2016 before achieving the highest level of change </w:t>
      </w:r>
      <w:r w:rsidR="009C659C">
        <w:t>in 2020. For instance, in</w:t>
      </w:r>
      <w:r w:rsidR="00FE0117">
        <w:t xml:space="preserve"> the </w:t>
      </w:r>
      <w:r>
        <w:t xml:space="preserve">10% case, the change in prices </w:t>
      </w:r>
      <w:r w:rsidR="00BB250E">
        <w:t xml:space="preserve">is +2% </w:t>
      </w:r>
      <w:r>
        <w:t>in 2016,</w:t>
      </w:r>
      <w:r w:rsidR="00BB250E">
        <w:t xml:space="preserve"> +4% in </w:t>
      </w:r>
      <w:r>
        <w:t xml:space="preserve">2017, and continuing to reach +10% by 2020. The phrase </w:t>
      </w:r>
      <w:r w:rsidR="00F214FF">
        <w:t xml:space="preserve">“from </w:t>
      </w:r>
      <w:r w:rsidRPr="00022572">
        <w:t>against the baseline</w:t>
      </w:r>
      <w:r w:rsidR="00F214FF">
        <w:t>”</w:t>
      </w:r>
      <w:r>
        <w:t xml:space="preserve"> bears some expansion here for how these electricity price changes work </w:t>
      </w:r>
      <w:r w:rsidR="00854B95">
        <w:t>with</w:t>
      </w:r>
      <w:r>
        <w:t xml:space="preserve">in the model. The change in </w:t>
      </w:r>
      <w:r w:rsidR="00FE0117">
        <w:t xml:space="preserve">electricity </w:t>
      </w:r>
      <w:r>
        <w:t>prices here is not a compounding change in the price—it is a one-time, “scalar” adjustment against the baseline</w:t>
      </w:r>
      <w:r w:rsidR="00FE0117">
        <w:t xml:space="preserve"> prices</w:t>
      </w:r>
      <w:r>
        <w:t xml:space="preserve">. This allows a view of how the economy might look different if electricity were a different price for residential and </w:t>
      </w:r>
      <w:r w:rsidR="009C659C">
        <w:t>business consumers, sustained over</w:t>
      </w:r>
      <w:r>
        <w:t xml:space="preserve"> the long-term and with long-term economic adjustments, divided between Co-op Nation</w:t>
      </w:r>
      <w:r w:rsidR="00FE0117">
        <w:t xml:space="preserve"> and vicinity</w:t>
      </w:r>
      <w:r>
        <w:t>, and the rest of the United States.</w:t>
      </w:r>
    </w:p>
    <w:p w14:paraId="0C0FF0F8" w14:textId="77777777" w:rsidR="00D464AD" w:rsidRDefault="00D464AD" w:rsidP="005558CC"/>
    <w:p w14:paraId="5A9C0088" w14:textId="77777777" w:rsidR="00D464AD" w:rsidRDefault="00D464AD" w:rsidP="005558CC">
      <w:r>
        <w:t xml:space="preserve">The model allocates most dollars from the assumed higher electricity prices to output and profit margin for that industry as well as higher prices charged </w:t>
      </w:r>
      <w:r w:rsidRPr="00CD1B3B">
        <w:t xml:space="preserve">to </w:t>
      </w:r>
      <w:r>
        <w:t xml:space="preserve">electricity producers </w:t>
      </w:r>
      <w:r w:rsidRPr="00AA14DB">
        <w:t xml:space="preserve">by </w:t>
      </w:r>
      <w:r>
        <w:t>their suppliers (such as the railroads deliver</w:t>
      </w:r>
      <w:r w:rsidR="00F214FF">
        <w:t>ing</w:t>
      </w:r>
      <w:r>
        <w:t xml:space="preserve"> coal to plants or </w:t>
      </w:r>
      <w:r w:rsidR="00854B95">
        <w:t xml:space="preserve">producers extracting </w:t>
      </w:r>
      <w:r>
        <w:t xml:space="preserve">natural gas from </w:t>
      </w:r>
      <w:r w:rsidR="00854B95">
        <w:t xml:space="preserve">wells </w:t>
      </w:r>
      <w:r>
        <w:t xml:space="preserve">and moving it to the </w:t>
      </w:r>
      <w:r>
        <w:lastRenderedPageBreak/>
        <w:t>point of consumption</w:t>
      </w:r>
      <w:r w:rsidR="00854B95">
        <w:t xml:space="preserve"> through the pipeline network</w:t>
      </w:r>
      <w:r>
        <w:t xml:space="preserve">). </w:t>
      </w:r>
      <w:r w:rsidR="00857D35">
        <w:t xml:space="preserve">The excess revenues </w:t>
      </w:r>
      <w:r>
        <w:t>not automatically allocated in REMI PI</w:t>
      </w:r>
      <w:r>
        <w:rPr>
          <w:vertAlign w:val="superscript"/>
        </w:rPr>
        <w:t>+</w:t>
      </w:r>
      <w:r w:rsidR="00857D35">
        <w:rPr>
          <w:vertAlign w:val="superscript"/>
        </w:rPr>
        <w:t xml:space="preserve"> </w:t>
      </w:r>
      <w:r w:rsidR="00857D35">
        <w:t xml:space="preserve">were directed </w:t>
      </w:r>
      <w:r>
        <w:t xml:space="preserve">to </w:t>
      </w:r>
      <w:r w:rsidR="00FC01C0">
        <w:t xml:space="preserve">scientific research and development, which is a sub-industry </w:t>
      </w:r>
      <w:r w:rsidR="00F214FF">
        <w:t>of</w:t>
      </w:r>
      <w:r w:rsidR="00FC01C0">
        <w:t xml:space="preserve"> professional and technical services. </w:t>
      </w:r>
      <w:r>
        <w:t>This cost becomes “sunk.”</w:t>
      </w:r>
      <w:r w:rsidR="00FC01C0" w:rsidRPr="00FC01C0">
        <w:t xml:space="preserve"> </w:t>
      </w:r>
      <w:r w:rsidR="00FC01C0">
        <w:t>It creates jobs and output much in the way as any other industry (such as manufacturing or other ser</w:t>
      </w:r>
      <w:r w:rsidR="00857D35">
        <w:t xml:space="preserve">vices), but it does not lead </w:t>
      </w:r>
      <w:r>
        <w:t>to any long-term breakthroughs in technology or productivity in the system</w:t>
      </w:r>
      <w:r w:rsidR="00857D35">
        <w:t xml:space="preserve"> on its own</w:t>
      </w:r>
      <w:r>
        <w:t>. It is just another industry in the transactional sense.</w:t>
      </w:r>
    </w:p>
    <w:p w14:paraId="2DCD4237" w14:textId="77777777" w:rsidR="005D5AC4" w:rsidRDefault="005D5AC4" w:rsidP="005558CC"/>
    <w:p w14:paraId="36720588" w14:textId="77777777" w:rsidR="00437272" w:rsidRPr="008647AB" w:rsidRDefault="00367896" w:rsidP="00061BE0">
      <w:pPr>
        <w:spacing w:line="240" w:lineRule="auto"/>
        <w:rPr>
          <w:b/>
        </w:rPr>
      </w:pPr>
      <w:r w:rsidRPr="008647AB">
        <w:rPr>
          <w:b/>
        </w:rPr>
        <w:t>Employment</w:t>
      </w:r>
    </w:p>
    <w:p w14:paraId="4F4B0C2B" w14:textId="77777777" w:rsidR="00061BE0" w:rsidRDefault="00061BE0" w:rsidP="00061BE0">
      <w:pPr>
        <w:spacing w:after="200"/>
        <w:rPr>
          <w:rFonts w:eastAsiaTheme="minorEastAsia"/>
        </w:rPr>
      </w:pPr>
      <w:r>
        <w:rPr>
          <w:rFonts w:eastAsiaTheme="minorEastAsia"/>
        </w:rPr>
        <w:t xml:space="preserve">The simulation results show that electricity price increases </w:t>
      </w:r>
      <w:r w:rsidR="008651A3">
        <w:rPr>
          <w:rFonts w:eastAsiaTheme="minorEastAsia"/>
        </w:rPr>
        <w:t xml:space="preserve">significantly </w:t>
      </w:r>
      <w:r>
        <w:rPr>
          <w:rFonts w:eastAsiaTheme="minorEastAsia"/>
        </w:rPr>
        <w:t xml:space="preserve">harm </w:t>
      </w:r>
      <w:r w:rsidR="0011042C">
        <w:rPr>
          <w:rFonts w:eastAsiaTheme="minorEastAsia"/>
        </w:rPr>
        <w:t xml:space="preserve">the </w:t>
      </w:r>
      <w:r>
        <w:rPr>
          <w:rFonts w:eastAsiaTheme="minorEastAsia"/>
        </w:rPr>
        <w:t xml:space="preserve">U.S. </w:t>
      </w:r>
      <w:r w:rsidR="0011042C">
        <w:rPr>
          <w:rFonts w:eastAsiaTheme="minorEastAsia"/>
        </w:rPr>
        <w:t>economy</w:t>
      </w:r>
      <w:r>
        <w:rPr>
          <w:rFonts w:eastAsiaTheme="minorEastAsia"/>
        </w:rPr>
        <w:t>.  In terms of employment losses and GDP losses, t</w:t>
      </w:r>
      <w:r w:rsidRPr="00061BE0">
        <w:rPr>
          <w:rFonts w:eastAsiaTheme="minorEastAsia"/>
        </w:rPr>
        <w:t>he larger absolute shock takes place in the rest of the United States, though the proportion of the</w:t>
      </w:r>
      <w:r>
        <w:rPr>
          <w:rFonts w:eastAsiaTheme="minorEastAsia"/>
        </w:rPr>
        <w:t xml:space="preserve"> electricity price</w:t>
      </w:r>
      <w:r w:rsidRPr="00061BE0">
        <w:rPr>
          <w:rFonts w:eastAsiaTheme="minorEastAsia"/>
        </w:rPr>
        <w:t xml:space="preserve"> shock is </w:t>
      </w:r>
      <w:r w:rsidR="008651A3">
        <w:rPr>
          <w:rFonts w:eastAsiaTheme="minorEastAsia"/>
        </w:rPr>
        <w:t xml:space="preserve">much </w:t>
      </w:r>
      <w:r w:rsidR="003422AF">
        <w:rPr>
          <w:rFonts w:eastAsiaTheme="minorEastAsia"/>
        </w:rPr>
        <w:t>larger in</w:t>
      </w:r>
      <w:r w:rsidRPr="00061BE0">
        <w:rPr>
          <w:rFonts w:eastAsiaTheme="minorEastAsia"/>
        </w:rPr>
        <w:t xml:space="preserve"> Co-op Nation </w:t>
      </w:r>
      <w:r w:rsidR="003422AF">
        <w:rPr>
          <w:rFonts w:eastAsiaTheme="minorEastAsia"/>
        </w:rPr>
        <w:t>and vicinity</w:t>
      </w:r>
      <w:r w:rsidRPr="00061BE0">
        <w:rPr>
          <w:rFonts w:eastAsiaTheme="minorEastAsia"/>
        </w:rPr>
        <w:t>. Their relatively small populations and electricity-intensive industry mixture contributes to their larger impacts compared to their urban counterparts.</w:t>
      </w:r>
    </w:p>
    <w:p w14:paraId="0D1EBEB1" w14:textId="77777777" w:rsidR="008651A3" w:rsidRDefault="00061BE0" w:rsidP="008651A3">
      <w:pPr>
        <w:spacing w:after="200"/>
        <w:rPr>
          <w:rFonts w:eastAsiaTheme="minorEastAsia"/>
        </w:rPr>
      </w:pPr>
      <w:r>
        <w:rPr>
          <w:rFonts w:eastAsiaTheme="minorEastAsia"/>
        </w:rPr>
        <w:t xml:space="preserve">Figure 2 shows both the absolute change in jobs and the relative </w:t>
      </w:r>
      <w:r w:rsidR="00936086">
        <w:rPr>
          <w:rFonts w:eastAsiaTheme="minorEastAsia"/>
        </w:rPr>
        <w:t>percentage</w:t>
      </w:r>
      <w:r>
        <w:rPr>
          <w:rFonts w:eastAsiaTheme="minorEastAsia"/>
        </w:rPr>
        <w:t xml:space="preserve"> change resulting from a 10% </w:t>
      </w:r>
      <w:r w:rsidR="001A3E52">
        <w:rPr>
          <w:rFonts w:eastAsiaTheme="minorEastAsia"/>
        </w:rPr>
        <w:t xml:space="preserve">and </w:t>
      </w:r>
      <w:r>
        <w:rPr>
          <w:rFonts w:eastAsiaTheme="minorEastAsia"/>
        </w:rPr>
        <w:t xml:space="preserve">a </w:t>
      </w:r>
      <w:r w:rsidR="00574466">
        <w:rPr>
          <w:rFonts w:eastAsiaTheme="minorEastAsia"/>
        </w:rPr>
        <w:t xml:space="preserve">25% increase in electricity prices. </w:t>
      </w:r>
      <w:r w:rsidR="00444F38">
        <w:rPr>
          <w:rFonts w:eastAsiaTheme="minorEastAsia"/>
        </w:rPr>
        <w:t xml:space="preserve"> The change in employment is measured against a baseline projection that assumes business-as-usual, i.e., no electricity price changes. </w:t>
      </w:r>
      <w:r w:rsidR="008651A3">
        <w:rPr>
          <w:rFonts w:eastAsiaTheme="minorEastAsia"/>
        </w:rPr>
        <w:t>The average</w:t>
      </w:r>
      <w:r w:rsidR="003422AF">
        <w:rPr>
          <w:rFonts w:eastAsiaTheme="minorEastAsia"/>
        </w:rPr>
        <w:t xml:space="preserve"> annual</w:t>
      </w:r>
      <w:r w:rsidR="008651A3">
        <w:rPr>
          <w:rFonts w:eastAsiaTheme="minorEastAsia"/>
        </w:rPr>
        <w:t xml:space="preserve"> number of jobs lost over the 2020-2040 period in the U.S. ranges from about 880,000 to 1.5 million in the 10% and 25% price increase cases, respectively. Peak year job losses total 1.2 million and 2.2 millio</w:t>
      </w:r>
      <w:r w:rsidR="00AA479B">
        <w:rPr>
          <w:rFonts w:eastAsiaTheme="minorEastAsia"/>
        </w:rPr>
        <w:t>n, respectively. Job losses in Co-op N</w:t>
      </w:r>
      <w:r w:rsidR="008651A3">
        <w:rPr>
          <w:rFonts w:eastAsiaTheme="minorEastAsia"/>
        </w:rPr>
        <w:t xml:space="preserve">ation and vicinity average 360,000 and 614,000 over the same period with peak losses of 499,000 and 893,000 jobs in the 10% and 25% price increase simulations, respectively. In contrast, job losses in the rest of the U.S. average 522,000 and 875,000 in the 10% and 25% price increase cases, respectively, over the 2020 – 2040 period. </w:t>
      </w:r>
    </w:p>
    <w:p w14:paraId="6F864372" w14:textId="77777777" w:rsidR="008523F9" w:rsidRPr="008647AB" w:rsidRDefault="00536E3B" w:rsidP="00536E3B">
      <w:pPr>
        <w:tabs>
          <w:tab w:val="left" w:pos="360"/>
          <w:tab w:val="left" w:pos="990"/>
        </w:tabs>
        <w:spacing w:after="200"/>
        <w:rPr>
          <w:b/>
        </w:rPr>
      </w:pPr>
      <w:r w:rsidRPr="008647AB">
        <w:rPr>
          <w:b/>
        </w:rPr>
        <w:t>Figure 2</w:t>
      </w:r>
      <w:r w:rsidRPr="008647AB">
        <w:rPr>
          <w:b/>
        </w:rPr>
        <w:tab/>
      </w:r>
      <w:r w:rsidR="008523F9" w:rsidRPr="008647AB">
        <w:rPr>
          <w:b/>
        </w:rPr>
        <w:t>Employment</w:t>
      </w:r>
      <w:r w:rsidRPr="008647AB">
        <w:rPr>
          <w:b/>
        </w:rPr>
        <w:t xml:space="preserve"> (absolute change and </w:t>
      </w:r>
      <w:r w:rsidR="00936086">
        <w:rPr>
          <w:b/>
        </w:rPr>
        <w:t>percentage</w:t>
      </w:r>
      <w:r w:rsidRPr="008647AB">
        <w:rPr>
          <w:b/>
        </w:rPr>
        <w:t xml:space="preserve"> change)</w:t>
      </w:r>
    </w:p>
    <w:p w14:paraId="0CD660A2" w14:textId="77777777" w:rsidR="008523F9" w:rsidRDefault="00AE23E4">
      <w:pPr>
        <w:spacing w:after="200"/>
        <w:rPr>
          <w:b/>
        </w:rPr>
      </w:pPr>
      <w:r w:rsidRPr="00450A28">
        <w:rPr>
          <w:b/>
          <w:noProof/>
        </w:rPr>
        <mc:AlternateContent>
          <mc:Choice Requires="wps">
            <w:drawing>
              <wp:anchor distT="0" distB="0" distL="114300" distR="114300" simplePos="0" relativeHeight="251665408" behindDoc="0" locked="0" layoutInCell="1" allowOverlap="1" wp14:anchorId="75C7299C" wp14:editId="74943264">
                <wp:simplePos x="0" y="0"/>
                <wp:positionH relativeFrom="column">
                  <wp:posOffset>1276602</wp:posOffset>
                </wp:positionH>
                <wp:positionV relativeFrom="paragraph">
                  <wp:posOffset>1754505</wp:posOffset>
                </wp:positionV>
                <wp:extent cx="1552575" cy="441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41325"/>
                        </a:xfrm>
                        <a:prstGeom prst="rect">
                          <a:avLst/>
                        </a:prstGeom>
                        <a:noFill/>
                        <a:ln w="9525">
                          <a:noFill/>
                          <a:miter lim="800000"/>
                          <a:headEnd/>
                          <a:tailEnd/>
                        </a:ln>
                      </wps:spPr>
                      <wps:txbx>
                        <w:txbxContent>
                          <w:p w14:paraId="52048B92" w14:textId="77777777" w:rsidR="002E3219" w:rsidRDefault="002E3219" w:rsidP="00AE23E4">
                            <w:pPr>
                              <w:spacing w:line="240" w:lineRule="auto"/>
                            </w:pPr>
                            <w:r>
                              <w:t>10% kWh price increase</w:t>
                            </w:r>
                          </w:p>
                          <w:p w14:paraId="136B46B2" w14:textId="77777777" w:rsidR="002E3219" w:rsidRDefault="002E3219" w:rsidP="00AE23E4">
                            <w:pPr>
                              <w:spacing w:line="240" w:lineRule="auto"/>
                            </w:pPr>
                            <w:r>
                              <w:t>25% kWh price increase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00.5pt;margin-top:138.15pt;width:122.25pt;height:34.7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" filled="f" stroked="f">
                <v:textbox style="mso-fit-shape-to-text:t">
                  <w:txbxContent>
                    <w:p w:rsidR="002E3219" w:rsidRDefault="002E3219" w:rsidP="00AE23E4">
                      <w:pPr>
                        <w:spacing w:line="240" w:lineRule="auto"/>
                      </w:pPr>
                      <w:r>
                        <w:t>10% kWh price increase</w:t>
                      </w:r>
                    </w:p>
                    <w:p w:rsidR="002E3219" w:rsidRDefault="002E3219" w:rsidP="00AE23E4">
                      <w:pPr>
                        <w:spacing w:line="240" w:lineRule="auto"/>
                      </w:pPr>
                      <w:r>
                        <w:t>25% kWh price increase</w:t>
                      </w:r>
                    </w:p>
                  </w:txbxContent>
                </v:textbox>
              </v:shape>
            </w:pict>
          </mc:Fallback>
        </mc:AlternateContent>
      </w:r>
      <w:r w:rsidR="00437272" w:rsidRPr="006F53C4">
        <w:rPr>
          <w:noProof/>
        </w:rPr>
        <w:drawing>
          <wp:inline distT="0" distB="0" distL="0" distR="0" wp14:anchorId="745E15BE" wp14:editId="58751E1F">
            <wp:extent cx="2941608" cy="2596551"/>
            <wp:effectExtent l="0" t="0" r="0"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37272" w:rsidRPr="006F53C4">
        <w:rPr>
          <w:noProof/>
        </w:rPr>
        <w:drawing>
          <wp:inline distT="0" distB="0" distL="0" distR="0" wp14:anchorId="20116E18" wp14:editId="57B95899">
            <wp:extent cx="2872596" cy="2423639"/>
            <wp:effectExtent l="0" t="0" r="0" b="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45CFD7" w14:textId="77777777" w:rsidR="008523F9" w:rsidRDefault="00536E3B">
      <w:pPr>
        <w:spacing w:after="200"/>
      </w:pPr>
      <w:r w:rsidRPr="00536E3B">
        <w:rPr>
          <w:b/>
          <w:noProof/>
        </w:rPr>
        <w:lastRenderedPageBreak/>
        <mc:AlternateContent>
          <mc:Choice Requires="wps">
            <w:drawing>
              <wp:anchor distT="0" distB="0" distL="114300" distR="114300" simplePos="0" relativeHeight="251659264" behindDoc="0" locked="0" layoutInCell="1" allowOverlap="1" wp14:anchorId="7C88C32A" wp14:editId="25B41D71">
                <wp:simplePos x="0" y="0"/>
                <wp:positionH relativeFrom="column">
                  <wp:posOffset>3851275</wp:posOffset>
                </wp:positionH>
                <wp:positionV relativeFrom="paragraph">
                  <wp:posOffset>1426258</wp:posOffset>
                </wp:positionV>
                <wp:extent cx="2377440" cy="441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41325"/>
                        </a:xfrm>
                        <a:prstGeom prst="rect">
                          <a:avLst/>
                        </a:prstGeom>
                        <a:noFill/>
                        <a:ln w="9525">
                          <a:noFill/>
                          <a:miter lim="800000"/>
                          <a:headEnd/>
                          <a:tailEnd/>
                        </a:ln>
                      </wps:spPr>
                      <wps:txbx>
                        <w:txbxContent>
                          <w:p w14:paraId="7BA7D6D6" w14:textId="77777777" w:rsidR="002E3219" w:rsidRDefault="002E3219" w:rsidP="00450A28">
                            <w:pPr>
                              <w:spacing w:line="240" w:lineRule="auto"/>
                            </w:pPr>
                            <w:r>
                              <w:t>10% kWh price increase</w:t>
                            </w:r>
                          </w:p>
                          <w:p w14:paraId="70E9B7AA" w14:textId="77777777" w:rsidR="002E3219" w:rsidRDefault="002E3219" w:rsidP="00450A28">
                            <w:pPr>
                              <w:spacing w:line="240" w:lineRule="auto"/>
                            </w:pPr>
                            <w:r>
                              <w:t>25% kWh price increase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o="http://schemas.microsoft.com/office/mac/office/2008/main" xmlns:mv="urn:schemas-microsoft-com:mac:vml" xmlns:w15="http://schemas.microsoft.com/office/word/2012/wordml">
            <w:pict>
              <v:shape id="_x0000_s1027" type="#_x0000_t202" style="position:absolute;margin-left:303.25pt;margin-top:112.3pt;width:187.2pt;height:34.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" filled="f" stroked="f">
                <v:textbox style="mso-fit-shape-to-text:t">
                  <w:txbxContent>
                    <w:p w:rsidR="002E3219" w:rsidRDefault="002E3219" w:rsidP="00450A28">
                      <w:pPr>
                        <w:spacing w:line="240" w:lineRule="auto"/>
                      </w:pPr>
                      <w:r>
                        <w:t>10% kWh price increase</w:t>
                      </w:r>
                    </w:p>
                    <w:p w:rsidR="002E3219" w:rsidRDefault="002E3219" w:rsidP="00450A28">
                      <w:pPr>
                        <w:spacing w:line="240" w:lineRule="auto"/>
                      </w:pPr>
                      <w:r>
                        <w:t>25% kWh price increase</w:t>
                      </w:r>
                    </w:p>
                  </w:txbxContent>
                </v:textbox>
              </v:shape>
            </w:pict>
          </mc:Fallback>
        </mc:AlternateContent>
      </w:r>
      <w:r w:rsidR="00437272">
        <w:rPr>
          <w:noProof/>
        </w:rPr>
        <w:drawing>
          <wp:inline distT="0" distB="0" distL="0" distR="0" wp14:anchorId="09DA4335" wp14:editId="155102DA">
            <wp:extent cx="3027872" cy="242402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37272">
        <w:rPr>
          <w:noProof/>
        </w:rPr>
        <w:drawing>
          <wp:inline distT="0" distB="0" distL="0" distR="0" wp14:anchorId="5FE71A51" wp14:editId="3FE98D50">
            <wp:extent cx="2872596" cy="238089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432C4A" w14:textId="77777777" w:rsidR="00CA386F" w:rsidRDefault="00CA386F" w:rsidP="005D5AC4"/>
    <w:p w14:paraId="68071422" w14:textId="77777777" w:rsidR="00444F38" w:rsidRDefault="00444F38" w:rsidP="00444F38">
      <w:pPr>
        <w:spacing w:after="200"/>
        <w:rPr>
          <w:rFonts w:eastAsiaTheme="minorEastAsia"/>
        </w:rPr>
      </w:pPr>
      <w:r>
        <w:rPr>
          <w:rFonts w:eastAsiaTheme="minorEastAsia"/>
        </w:rPr>
        <w:t xml:space="preserve">In relative terms, as depicted in the bottom panels of Figure 2, the losses in Co-op Nation and vicinity are greater than in the rest of the USA. On average, over the 2020-2040 period, employment in Co-op Nation declines 0.63% and 1.05% in the 10% and 25% electricity price increase cases, respectively.  In contrast, employment in the rest of the USA declines by 0.36% and 0.62%, respectively. </w:t>
      </w:r>
    </w:p>
    <w:p w14:paraId="729C42ED" w14:textId="77777777" w:rsidR="004267FC" w:rsidRDefault="00C36D1A" w:rsidP="005D5AC4">
      <w:r w:rsidRPr="00BE300C">
        <w:t xml:space="preserve">The effect </w:t>
      </w:r>
      <w:r>
        <w:t xml:space="preserve">of electricity price increases is to cause employment declines across all </w:t>
      </w:r>
      <w:r w:rsidR="005D5AC4">
        <w:t xml:space="preserve">industry </w:t>
      </w:r>
      <w:r>
        <w:t xml:space="preserve">sectors of Co-op Nation and vicinity as shown in Figures 2.1 and 2.3 for the 10% and 25% cases, respectively.  </w:t>
      </w:r>
      <w:r w:rsidR="004267FC">
        <w:t xml:space="preserve">State and local government, construction, </w:t>
      </w:r>
      <w:r w:rsidR="004267FC" w:rsidRPr="00483801">
        <w:t xml:space="preserve">and retail </w:t>
      </w:r>
      <w:r w:rsidR="004267FC">
        <w:t xml:space="preserve">trade </w:t>
      </w:r>
      <w:r w:rsidR="004267FC" w:rsidRPr="00483801">
        <w:t xml:space="preserve">see the most concentrated </w:t>
      </w:r>
      <w:r w:rsidR="004267FC">
        <w:t xml:space="preserve">job </w:t>
      </w:r>
      <w:r w:rsidR="004267FC" w:rsidRPr="00483801">
        <w:t xml:space="preserve">losses from higher electricity costs (and all for their own reasons), while </w:t>
      </w:r>
      <w:r w:rsidR="004267FC">
        <w:t>smaller sectors have impacts in-</w:t>
      </w:r>
      <w:r w:rsidR="004267FC" w:rsidRPr="00483801">
        <w:t xml:space="preserve">kind with the size of the industry and their </w:t>
      </w:r>
      <w:r w:rsidR="004267FC">
        <w:t>increase in costs. Farming</w:t>
      </w:r>
      <w:r w:rsidR="004267FC" w:rsidRPr="00483801">
        <w:t>, for instance, has a negative impact but starts with a sm</w:t>
      </w:r>
      <w:r w:rsidR="004267FC">
        <w:t>aller baseline of jobs to lose.</w:t>
      </w:r>
    </w:p>
    <w:p w14:paraId="6FC0717C" w14:textId="77777777" w:rsidR="004267FC" w:rsidRDefault="004267FC" w:rsidP="005D5AC4"/>
    <w:p w14:paraId="44CE97C2" w14:textId="77777777" w:rsidR="005D5AC4" w:rsidRDefault="00C36D1A" w:rsidP="005D5AC4">
      <w:r w:rsidRPr="00BE300C">
        <w:t xml:space="preserve">State and local government, in particular, has a pinch in its budgets from higher electricity usage costs. </w:t>
      </w:r>
      <w:r>
        <w:t xml:space="preserve">This study assumes state and local governments </w:t>
      </w:r>
      <w:r w:rsidR="00354CCE">
        <w:t>maintain balan</w:t>
      </w:r>
      <w:r w:rsidR="005D5AC4">
        <w:t>ced budgets.  Electricity price</w:t>
      </w:r>
      <w:r w:rsidR="00354CCE">
        <w:t xml:space="preserve"> increases are offset by reductions in other areas of state and local </w:t>
      </w:r>
      <w:r w:rsidR="00CC1C9C">
        <w:t xml:space="preserve">government </w:t>
      </w:r>
      <w:r w:rsidR="00354CCE">
        <w:t>budgets, including employment.</w:t>
      </w:r>
      <w:r w:rsidR="005D5AC4">
        <w:rPr>
          <w:rStyle w:val="FootnoteReference"/>
        </w:rPr>
        <w:footnoteReference w:id="6"/>
      </w:r>
      <w:r w:rsidR="00354CCE">
        <w:t xml:space="preserve"> </w:t>
      </w:r>
      <w:r w:rsidR="005D5AC4">
        <w:t>State and local governments</w:t>
      </w:r>
      <w:r w:rsidRPr="00BE300C">
        <w:t xml:space="preserve"> see employment levels decrease in the scenarios. The rest of the industries have a similar effect from the higher prices.</w:t>
      </w:r>
    </w:p>
    <w:p w14:paraId="44A0D51A" w14:textId="77777777" w:rsidR="009B3FDA" w:rsidRDefault="009B3FDA" w:rsidP="005D5AC4"/>
    <w:p w14:paraId="691C284D" w14:textId="77777777" w:rsidR="005D5AC4" w:rsidRPr="00483801" w:rsidRDefault="005D5AC4" w:rsidP="005D5AC4">
      <w:r w:rsidRPr="00483801">
        <w:t>The rest of the United States shows a similar pattern. It does have one benefit in one industry set, however, with professional services and its uptake of the higher dollars from electricity prices. One should note the REMI model does not account for any productivity benefits of long</w:t>
      </w:r>
      <w:r w:rsidR="009B3FDA">
        <w:t>-term R&amp;D spending. T</w:t>
      </w:r>
      <w:r w:rsidRPr="00483801">
        <w:t>he dollars to scientific research are “sunk” as they would be in any other industry without a long-term bonus to underlying costs.</w:t>
      </w:r>
    </w:p>
    <w:p w14:paraId="7842F45A" w14:textId="77777777" w:rsidR="009B3FDA" w:rsidRDefault="009B3FDA" w:rsidP="009B3FDA"/>
    <w:p w14:paraId="3BA50D7E" w14:textId="77777777" w:rsidR="00367896" w:rsidRDefault="00367896">
      <w:pPr>
        <w:spacing w:after="200"/>
      </w:pPr>
      <w:r>
        <w:br w:type="page"/>
      </w:r>
    </w:p>
    <w:p w14:paraId="46036AB9" w14:textId="77777777" w:rsidR="00367896" w:rsidRDefault="00766D42" w:rsidP="00367896">
      <w:pPr>
        <w:pStyle w:val="Heading3"/>
        <w:rPr>
          <w:color w:val="auto"/>
        </w:rPr>
      </w:pPr>
      <w:r>
        <w:rPr>
          <w:color w:val="auto"/>
        </w:rPr>
        <w:lastRenderedPageBreak/>
        <w:t xml:space="preserve">Figure 2.1   </w:t>
      </w:r>
      <w:r w:rsidR="00BE300C">
        <w:rPr>
          <w:color w:val="auto"/>
        </w:rPr>
        <w:t>Change in Jobs</w:t>
      </w:r>
      <w:r w:rsidR="00367896" w:rsidRPr="00367896">
        <w:rPr>
          <w:color w:val="auto"/>
        </w:rPr>
        <w:t xml:space="preserve"> By Sector (10% increase, </w:t>
      </w:r>
      <w:r w:rsidR="00367896" w:rsidRPr="00367896">
        <w:rPr>
          <w:color w:val="auto"/>
          <w:u w:val="single"/>
        </w:rPr>
        <w:t>Co-op Nation</w:t>
      </w:r>
      <w:r w:rsidR="00367896" w:rsidRPr="00367896">
        <w:rPr>
          <w:color w:val="auto"/>
        </w:rPr>
        <w:t>, ann</w:t>
      </w:r>
      <w:r w:rsidR="00BE300C">
        <w:rPr>
          <w:color w:val="auto"/>
        </w:rPr>
        <w:t>.</w:t>
      </w:r>
      <w:r w:rsidR="00367896" w:rsidRPr="00367896">
        <w:rPr>
          <w:color w:val="auto"/>
        </w:rPr>
        <w:t xml:space="preserve"> avg</w:t>
      </w:r>
      <w:r w:rsidR="00BE300C">
        <w:rPr>
          <w:color w:val="auto"/>
        </w:rPr>
        <w:t>.</w:t>
      </w:r>
      <w:r w:rsidR="00367896" w:rsidRPr="00367896">
        <w:rPr>
          <w:color w:val="auto"/>
        </w:rPr>
        <w:t xml:space="preserve"> 2016-2040)</w:t>
      </w:r>
    </w:p>
    <w:p w14:paraId="0C220DC8" w14:textId="77777777" w:rsidR="000A214B" w:rsidRPr="000A214B" w:rsidRDefault="000A214B" w:rsidP="000A214B"/>
    <w:p w14:paraId="11776B94" w14:textId="77777777" w:rsidR="00367896" w:rsidRDefault="00367896" w:rsidP="00367896">
      <w:pPr>
        <w:jc w:val="center"/>
      </w:pPr>
      <w:r w:rsidRPr="00297DD0">
        <w:rPr>
          <w:noProof/>
        </w:rPr>
        <w:drawing>
          <wp:inline distT="0" distB="0" distL="0" distR="0" wp14:anchorId="7DDF0183" wp14:editId="6F49FB6B">
            <wp:extent cx="5943600" cy="2743200"/>
            <wp:effectExtent l="0" t="0" r="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66CFE7" w14:textId="77777777" w:rsidR="004267FC" w:rsidRDefault="004267FC" w:rsidP="00367896">
      <w:pPr>
        <w:pStyle w:val="Heading3"/>
        <w:rPr>
          <w:color w:val="auto"/>
        </w:rPr>
      </w:pPr>
    </w:p>
    <w:p w14:paraId="5C42A12A" w14:textId="77777777" w:rsidR="004267FC" w:rsidRDefault="004267FC" w:rsidP="00367896">
      <w:pPr>
        <w:pStyle w:val="Heading3"/>
        <w:rPr>
          <w:color w:val="auto"/>
        </w:rPr>
      </w:pPr>
    </w:p>
    <w:p w14:paraId="032DB6B5" w14:textId="77777777" w:rsidR="004267FC" w:rsidRDefault="004267FC" w:rsidP="00367896">
      <w:pPr>
        <w:pStyle w:val="Heading3"/>
        <w:rPr>
          <w:color w:val="auto"/>
        </w:rPr>
      </w:pPr>
    </w:p>
    <w:p w14:paraId="0BC6E731" w14:textId="77777777" w:rsidR="00367896" w:rsidRDefault="00766D42" w:rsidP="00367896">
      <w:pPr>
        <w:pStyle w:val="Heading3"/>
        <w:rPr>
          <w:color w:val="auto"/>
        </w:rPr>
      </w:pPr>
      <w:r>
        <w:rPr>
          <w:color w:val="auto"/>
        </w:rPr>
        <w:t xml:space="preserve">Figure 2.2   </w:t>
      </w:r>
      <w:r w:rsidR="00BE300C">
        <w:rPr>
          <w:color w:val="auto"/>
        </w:rPr>
        <w:t xml:space="preserve">Change in Jobs </w:t>
      </w:r>
      <w:r w:rsidR="00367896" w:rsidRPr="00367896">
        <w:rPr>
          <w:color w:val="auto"/>
        </w:rPr>
        <w:t xml:space="preserve">By Sector (10% increase, </w:t>
      </w:r>
      <w:r w:rsidR="00367896" w:rsidRPr="00367896">
        <w:rPr>
          <w:color w:val="auto"/>
          <w:u w:val="single"/>
        </w:rPr>
        <w:t>Rest of USA</w:t>
      </w:r>
      <w:r w:rsidR="00367896" w:rsidRPr="00367896">
        <w:rPr>
          <w:color w:val="auto"/>
        </w:rPr>
        <w:t>, ann</w:t>
      </w:r>
      <w:r w:rsidR="00483801">
        <w:rPr>
          <w:color w:val="auto"/>
        </w:rPr>
        <w:t>.</w:t>
      </w:r>
      <w:r w:rsidR="00367896" w:rsidRPr="00367896">
        <w:rPr>
          <w:color w:val="auto"/>
        </w:rPr>
        <w:t xml:space="preserve"> av</w:t>
      </w:r>
      <w:r w:rsidR="00483801">
        <w:rPr>
          <w:color w:val="auto"/>
        </w:rPr>
        <w:t>g.</w:t>
      </w:r>
      <w:r w:rsidR="00367896" w:rsidRPr="00367896">
        <w:rPr>
          <w:color w:val="auto"/>
        </w:rPr>
        <w:t xml:space="preserve"> 2016-2040)</w:t>
      </w:r>
    </w:p>
    <w:p w14:paraId="68A0076F" w14:textId="77777777" w:rsidR="000A214B" w:rsidRPr="000A214B" w:rsidRDefault="000A214B" w:rsidP="000A214B"/>
    <w:p w14:paraId="5E4A2CD7" w14:textId="77777777" w:rsidR="00367896" w:rsidRPr="00BF643C" w:rsidRDefault="00367896" w:rsidP="00367896">
      <w:pPr>
        <w:jc w:val="center"/>
      </w:pPr>
      <w:r w:rsidRPr="00297DD0">
        <w:rPr>
          <w:b/>
          <w:noProof/>
        </w:rPr>
        <w:drawing>
          <wp:inline distT="0" distB="0" distL="0" distR="0" wp14:anchorId="043F2964" wp14:editId="06239C00">
            <wp:extent cx="5943600" cy="2743200"/>
            <wp:effectExtent l="0" t="0" r="0"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A72ADE" w14:textId="77777777" w:rsidR="00367896" w:rsidRDefault="00367896" w:rsidP="00367896">
      <w:pPr>
        <w:spacing w:after="200"/>
      </w:pPr>
      <w:r>
        <w:br w:type="page"/>
      </w:r>
    </w:p>
    <w:p w14:paraId="4E245CAA" w14:textId="77777777" w:rsidR="00367896" w:rsidRDefault="00766D42" w:rsidP="00367896">
      <w:pPr>
        <w:pStyle w:val="Heading3"/>
        <w:rPr>
          <w:color w:val="auto"/>
        </w:rPr>
      </w:pPr>
      <w:r>
        <w:rPr>
          <w:color w:val="auto"/>
        </w:rPr>
        <w:lastRenderedPageBreak/>
        <w:t xml:space="preserve">Figure 2.3   </w:t>
      </w:r>
      <w:r w:rsidR="00483801">
        <w:rPr>
          <w:color w:val="auto"/>
        </w:rPr>
        <w:t xml:space="preserve">Change in Jobs </w:t>
      </w:r>
      <w:r w:rsidR="00367896" w:rsidRPr="00766D42">
        <w:rPr>
          <w:color w:val="auto"/>
        </w:rPr>
        <w:t xml:space="preserve">By Sector (25% increase, </w:t>
      </w:r>
      <w:r w:rsidR="00367896" w:rsidRPr="00766D42">
        <w:rPr>
          <w:color w:val="auto"/>
          <w:u w:val="single"/>
        </w:rPr>
        <w:t>Co-op Nation</w:t>
      </w:r>
      <w:r w:rsidR="00367896" w:rsidRPr="00766D42">
        <w:rPr>
          <w:color w:val="auto"/>
        </w:rPr>
        <w:t>, ann</w:t>
      </w:r>
      <w:r w:rsidR="00483801">
        <w:rPr>
          <w:color w:val="auto"/>
        </w:rPr>
        <w:t>.</w:t>
      </w:r>
      <w:r w:rsidR="00367896" w:rsidRPr="00766D42">
        <w:rPr>
          <w:color w:val="auto"/>
        </w:rPr>
        <w:t xml:space="preserve"> avg 2016-2040)</w:t>
      </w:r>
    </w:p>
    <w:p w14:paraId="6403D3AD" w14:textId="77777777" w:rsidR="000A214B" w:rsidRPr="000A214B" w:rsidRDefault="000A214B" w:rsidP="000A214B"/>
    <w:p w14:paraId="01DC7F99" w14:textId="77777777" w:rsidR="00367896" w:rsidRDefault="00367896" w:rsidP="00367896">
      <w:pPr>
        <w:jc w:val="center"/>
      </w:pPr>
      <w:r w:rsidRPr="00F83D74">
        <w:rPr>
          <w:noProof/>
        </w:rPr>
        <w:drawing>
          <wp:inline distT="0" distB="0" distL="0" distR="0" wp14:anchorId="1F246818" wp14:editId="52BA2E1E">
            <wp:extent cx="5943600" cy="2743200"/>
            <wp:effectExtent l="0" t="0" r="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17CBB4" w14:textId="77777777" w:rsidR="004267FC" w:rsidRDefault="004267FC" w:rsidP="00367896">
      <w:pPr>
        <w:pStyle w:val="Heading3"/>
        <w:rPr>
          <w:color w:val="auto"/>
        </w:rPr>
      </w:pPr>
    </w:p>
    <w:p w14:paraId="42EE77EF" w14:textId="77777777" w:rsidR="004267FC" w:rsidRDefault="004267FC" w:rsidP="00367896">
      <w:pPr>
        <w:pStyle w:val="Heading3"/>
        <w:rPr>
          <w:color w:val="auto"/>
        </w:rPr>
      </w:pPr>
    </w:p>
    <w:p w14:paraId="517BD77F" w14:textId="77777777" w:rsidR="004267FC" w:rsidRDefault="004267FC" w:rsidP="00367896">
      <w:pPr>
        <w:pStyle w:val="Heading3"/>
        <w:rPr>
          <w:color w:val="auto"/>
        </w:rPr>
      </w:pPr>
    </w:p>
    <w:p w14:paraId="170706DE" w14:textId="77777777" w:rsidR="00367896" w:rsidRDefault="00766D42" w:rsidP="00367896">
      <w:pPr>
        <w:pStyle w:val="Heading3"/>
        <w:rPr>
          <w:color w:val="auto"/>
        </w:rPr>
      </w:pPr>
      <w:r>
        <w:rPr>
          <w:color w:val="auto"/>
        </w:rPr>
        <w:t xml:space="preserve">Figure 2.4   </w:t>
      </w:r>
      <w:r w:rsidR="00483801">
        <w:rPr>
          <w:color w:val="auto"/>
        </w:rPr>
        <w:t xml:space="preserve">Change in Jobs </w:t>
      </w:r>
      <w:r w:rsidR="00367896" w:rsidRPr="00766D42">
        <w:rPr>
          <w:color w:val="auto"/>
        </w:rPr>
        <w:t xml:space="preserve">By Sector (25% increase, </w:t>
      </w:r>
      <w:r w:rsidR="00367896" w:rsidRPr="00766D42">
        <w:rPr>
          <w:color w:val="auto"/>
          <w:u w:val="single"/>
        </w:rPr>
        <w:t>Rest of USA</w:t>
      </w:r>
      <w:r w:rsidR="00367896" w:rsidRPr="00766D42">
        <w:rPr>
          <w:color w:val="auto"/>
        </w:rPr>
        <w:t>, ann</w:t>
      </w:r>
      <w:r w:rsidR="00483801">
        <w:rPr>
          <w:color w:val="auto"/>
        </w:rPr>
        <w:t>.</w:t>
      </w:r>
      <w:r w:rsidR="00367896" w:rsidRPr="00766D42">
        <w:rPr>
          <w:color w:val="auto"/>
        </w:rPr>
        <w:t xml:space="preserve"> av</w:t>
      </w:r>
      <w:r w:rsidR="00483801">
        <w:rPr>
          <w:color w:val="auto"/>
        </w:rPr>
        <w:t>g.</w:t>
      </w:r>
      <w:r w:rsidR="00367896" w:rsidRPr="00766D42">
        <w:rPr>
          <w:color w:val="auto"/>
        </w:rPr>
        <w:t xml:space="preserve"> 2016-2040)</w:t>
      </w:r>
    </w:p>
    <w:p w14:paraId="039F436D" w14:textId="77777777" w:rsidR="000A214B" w:rsidRPr="000A214B" w:rsidRDefault="000A214B" w:rsidP="000A214B"/>
    <w:p w14:paraId="0FEA58BC" w14:textId="77777777" w:rsidR="00367896" w:rsidRPr="00BF643C" w:rsidRDefault="00367896" w:rsidP="00367896">
      <w:pPr>
        <w:jc w:val="center"/>
      </w:pPr>
      <w:r w:rsidRPr="00F83D74">
        <w:rPr>
          <w:noProof/>
        </w:rPr>
        <w:drawing>
          <wp:inline distT="0" distB="0" distL="0" distR="0" wp14:anchorId="4B882717" wp14:editId="4150704D">
            <wp:extent cx="5943600" cy="2743200"/>
            <wp:effectExtent l="0" t="0" r="0"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5AD740" w14:textId="77777777" w:rsidR="00367896" w:rsidRDefault="00367896">
      <w:pPr>
        <w:spacing w:after="200"/>
      </w:pPr>
      <w:r>
        <w:br w:type="page"/>
      </w:r>
    </w:p>
    <w:p w14:paraId="34007982" w14:textId="77777777" w:rsidR="00CC1C9C" w:rsidRPr="00111AE3" w:rsidRDefault="00CC1C9C" w:rsidP="00CC1C9C">
      <w:pPr>
        <w:spacing w:line="240" w:lineRule="auto"/>
        <w:rPr>
          <w:rFonts w:eastAsiaTheme="minorEastAsia"/>
          <w:b/>
        </w:rPr>
      </w:pPr>
      <w:r w:rsidRPr="00111AE3">
        <w:rPr>
          <w:rFonts w:eastAsiaTheme="minorEastAsia"/>
          <w:b/>
        </w:rPr>
        <w:lastRenderedPageBreak/>
        <w:t>Gross Domestic Product</w:t>
      </w:r>
    </w:p>
    <w:p w14:paraId="1142401A" w14:textId="77777777" w:rsidR="00FC4328" w:rsidRDefault="003422AF" w:rsidP="003422AF">
      <w:pPr>
        <w:spacing w:after="200"/>
      </w:pPr>
      <w:r>
        <w:t xml:space="preserve">The impact of electricity price increases on gross domestic product (GDP) or output is similar </w:t>
      </w:r>
      <w:r w:rsidR="002E0624">
        <w:t xml:space="preserve">to </w:t>
      </w:r>
      <w:r>
        <w:t>the impact on employment.</w:t>
      </w:r>
      <w:r w:rsidRPr="00831FD0">
        <w:rPr>
          <w:rFonts w:eastAsiaTheme="minorEastAsia"/>
        </w:rPr>
        <w:t xml:space="preserve"> </w:t>
      </w:r>
      <w:r w:rsidR="00FC4328" w:rsidRPr="00831FD0">
        <w:rPr>
          <w:rFonts w:eastAsiaTheme="minorEastAsia"/>
        </w:rPr>
        <w:t>GDP reports the total change in the value of business activity in an area over time.</w:t>
      </w:r>
      <w:r w:rsidR="00FC4328">
        <w:rPr>
          <w:rFonts w:eastAsiaTheme="minorEastAsia"/>
        </w:rPr>
        <w:t xml:space="preserve">  Electricity price increases in </w:t>
      </w:r>
      <w:r w:rsidR="00CC1C9C">
        <w:t>Co-op Nation have</w:t>
      </w:r>
      <w:r w:rsidR="00FC4328" w:rsidRPr="00205FFA">
        <w:t xml:space="preserve"> less of an absolute impact but more of an impact in terms of the </w:t>
      </w:r>
      <w:r w:rsidR="00854B95">
        <w:t xml:space="preserve">proportional </w:t>
      </w:r>
      <w:r w:rsidR="00FC4328" w:rsidRPr="00205FFA">
        <w:t>change in GDP.</w:t>
      </w:r>
      <w:r w:rsidR="00FC4328">
        <w:t xml:space="preserve"> </w:t>
      </w:r>
    </w:p>
    <w:p w14:paraId="35A1F10D" w14:textId="77777777" w:rsidR="00E27A22" w:rsidRPr="00FC4328" w:rsidRDefault="002E0624" w:rsidP="003422AF">
      <w:pPr>
        <w:spacing w:after="200"/>
        <w:rPr>
          <w:rFonts w:eastAsiaTheme="minorEastAsia"/>
        </w:rPr>
      </w:pPr>
      <w:r>
        <w:rPr>
          <w:rFonts w:eastAsiaTheme="minorEastAsia"/>
        </w:rPr>
        <w:t>Higher electricity prices reduce</w:t>
      </w:r>
      <w:r w:rsidR="003422AF" w:rsidRPr="00831FD0">
        <w:rPr>
          <w:rFonts w:eastAsiaTheme="minorEastAsia"/>
        </w:rPr>
        <w:t xml:space="preserve"> the overall level of </w:t>
      </w:r>
      <w:r w:rsidR="00FC4328">
        <w:rPr>
          <w:rFonts w:eastAsiaTheme="minorEastAsia"/>
        </w:rPr>
        <w:t xml:space="preserve">economic </w:t>
      </w:r>
      <w:r w:rsidR="003422AF" w:rsidRPr="00831FD0">
        <w:rPr>
          <w:rFonts w:eastAsiaTheme="minorEastAsia"/>
        </w:rPr>
        <w:t xml:space="preserve">activity in </w:t>
      </w:r>
      <w:r w:rsidR="00FC4328">
        <w:rPr>
          <w:rFonts w:eastAsiaTheme="minorEastAsia"/>
        </w:rPr>
        <w:t xml:space="preserve">both </w:t>
      </w:r>
      <w:r w:rsidR="003422AF" w:rsidRPr="00831FD0">
        <w:rPr>
          <w:rFonts w:eastAsiaTheme="minorEastAsia"/>
        </w:rPr>
        <w:t xml:space="preserve">regions. </w:t>
      </w:r>
      <w:r w:rsidR="00E27A22" w:rsidRPr="00205FFA">
        <w:t xml:space="preserve">The electricity- and capital-intensive industries found more in rural America (counting but not limited to agriculture and manufacturing) have a greater sensitivity to a change in electricity prices than the more service-based economies found in the larger cities represented in the “rest </w:t>
      </w:r>
      <w:r w:rsidR="00E27A22">
        <w:t>of USA” region</w:t>
      </w:r>
      <w:r w:rsidR="00E27A22" w:rsidRPr="00205FFA">
        <w:t>.</w:t>
      </w:r>
      <w:r w:rsidR="00E27A22">
        <w:rPr>
          <w:b/>
        </w:rPr>
        <w:t xml:space="preserve">  </w:t>
      </w:r>
      <w:r>
        <w:rPr>
          <w:rFonts w:eastAsiaTheme="minorEastAsia"/>
        </w:rPr>
        <w:t xml:space="preserve">Although </w:t>
      </w:r>
      <w:r w:rsidR="003422AF" w:rsidRPr="00831FD0">
        <w:rPr>
          <w:rFonts w:eastAsiaTheme="minorEastAsia"/>
        </w:rPr>
        <w:t>Co-op Nation has less of an impact in terms of the total dollar flows, its smaller economy and local/state tax bases will feel these changes to a larger degree</w:t>
      </w:r>
      <w:r w:rsidR="003422AF">
        <w:rPr>
          <w:rFonts w:eastAsiaTheme="minorEastAsia"/>
        </w:rPr>
        <w:t>.</w:t>
      </w:r>
    </w:p>
    <w:p w14:paraId="20A93DC4" w14:textId="77777777" w:rsidR="00831FD0" w:rsidRDefault="00831FD0" w:rsidP="00831FD0">
      <w:pPr>
        <w:spacing w:after="200"/>
        <w:rPr>
          <w:rFonts w:eastAsiaTheme="minorEastAsia"/>
        </w:rPr>
      </w:pPr>
      <w:r w:rsidRPr="00831FD0">
        <w:rPr>
          <w:rFonts w:eastAsiaTheme="minorEastAsia"/>
        </w:rPr>
        <w:t xml:space="preserve">Figure </w:t>
      </w:r>
      <w:r w:rsidR="00A50849">
        <w:rPr>
          <w:rFonts w:eastAsiaTheme="minorEastAsia"/>
        </w:rPr>
        <w:t>3</w:t>
      </w:r>
      <w:r w:rsidRPr="00831FD0">
        <w:rPr>
          <w:rFonts w:eastAsiaTheme="minorEastAsia"/>
        </w:rPr>
        <w:t xml:space="preserve"> summarizes the </w:t>
      </w:r>
      <w:r w:rsidR="00A50849">
        <w:rPr>
          <w:rFonts w:eastAsiaTheme="minorEastAsia"/>
        </w:rPr>
        <w:t xml:space="preserve">GDP impacts for Co-op Nation and vicinity and the rest of the </w:t>
      </w:r>
      <w:r w:rsidRPr="00831FD0">
        <w:rPr>
          <w:rFonts w:eastAsiaTheme="minorEastAsia"/>
        </w:rPr>
        <w:t>United States</w:t>
      </w:r>
      <w:r w:rsidR="00A50849">
        <w:rPr>
          <w:rFonts w:eastAsiaTheme="minorEastAsia"/>
        </w:rPr>
        <w:t>.</w:t>
      </w:r>
      <w:r w:rsidRPr="00831FD0">
        <w:rPr>
          <w:rFonts w:eastAsiaTheme="minorEastAsia"/>
        </w:rPr>
        <w:t xml:space="preserve"> </w:t>
      </w:r>
      <w:r w:rsidR="005C2976">
        <w:rPr>
          <w:rFonts w:eastAsiaTheme="minorEastAsia"/>
        </w:rPr>
        <w:t xml:space="preserve">The change in GDP is measured against a baseline projection that assumes business-as-usual, i.e., no electricity price changes. </w:t>
      </w:r>
      <w:r w:rsidR="00111AE3">
        <w:rPr>
          <w:rFonts w:eastAsiaTheme="minorEastAsia"/>
        </w:rPr>
        <w:t>The top panel</w:t>
      </w:r>
      <w:r w:rsidR="00DE0BE8">
        <w:rPr>
          <w:rFonts w:eastAsiaTheme="minorEastAsia"/>
        </w:rPr>
        <w:t>s present</w:t>
      </w:r>
      <w:r w:rsidR="00111AE3">
        <w:rPr>
          <w:rFonts w:eastAsiaTheme="minorEastAsia"/>
        </w:rPr>
        <w:t xml:space="preserve"> the absolute losses in GDP due to electricity price increases. </w:t>
      </w:r>
      <w:r w:rsidRPr="00831FD0">
        <w:rPr>
          <w:rFonts w:eastAsiaTheme="minorEastAsia"/>
        </w:rPr>
        <w:t>The shape of the curve</w:t>
      </w:r>
      <w:r w:rsidR="00A50849">
        <w:rPr>
          <w:rFonts w:eastAsiaTheme="minorEastAsia"/>
        </w:rPr>
        <w:t xml:space="preserve">s here are flatter than those in </w:t>
      </w:r>
      <w:r w:rsidR="00F214FF">
        <w:rPr>
          <w:rFonts w:eastAsiaTheme="minorEastAsia"/>
        </w:rPr>
        <w:t xml:space="preserve">the </w:t>
      </w:r>
      <w:r w:rsidR="00111AE3">
        <w:rPr>
          <w:rFonts w:eastAsiaTheme="minorEastAsia"/>
        </w:rPr>
        <w:t>top panel</w:t>
      </w:r>
      <w:r w:rsidR="00DE0BE8">
        <w:rPr>
          <w:rFonts w:eastAsiaTheme="minorEastAsia"/>
        </w:rPr>
        <w:t>s</w:t>
      </w:r>
      <w:r w:rsidR="00111AE3">
        <w:rPr>
          <w:rFonts w:eastAsiaTheme="minorEastAsia"/>
        </w:rPr>
        <w:t xml:space="preserve"> of </w:t>
      </w:r>
      <w:r w:rsidR="00A50849">
        <w:rPr>
          <w:rFonts w:eastAsiaTheme="minorEastAsia"/>
        </w:rPr>
        <w:t>Figure 2</w:t>
      </w:r>
      <w:r w:rsidRPr="00831FD0">
        <w:rPr>
          <w:rFonts w:eastAsiaTheme="minorEastAsia"/>
        </w:rPr>
        <w:t xml:space="preserve"> because much of the change in GDP relates to the change in real income for consumers and competitiveness for business. Given these changes ratchet up to 2020 and hold thereafter, the change in </w:t>
      </w:r>
      <w:r w:rsidR="002E0624">
        <w:rPr>
          <w:rFonts w:eastAsiaTheme="minorEastAsia"/>
        </w:rPr>
        <w:t xml:space="preserve">electricity </w:t>
      </w:r>
      <w:r w:rsidRPr="00831FD0">
        <w:rPr>
          <w:rFonts w:eastAsiaTheme="minorEastAsia"/>
        </w:rPr>
        <w:t>price</w:t>
      </w:r>
      <w:r w:rsidR="002E0624">
        <w:rPr>
          <w:rFonts w:eastAsiaTheme="minorEastAsia"/>
        </w:rPr>
        <w:t>s</w:t>
      </w:r>
      <w:r w:rsidRPr="00831FD0">
        <w:rPr>
          <w:rFonts w:eastAsiaTheme="minorEastAsia"/>
        </w:rPr>
        <w:t xml:space="preserve"> permanently affects American economic output. Employment recovers, however, as lower em</w:t>
      </w:r>
      <w:r w:rsidR="002E0624">
        <w:rPr>
          <w:rFonts w:eastAsiaTheme="minorEastAsia"/>
        </w:rPr>
        <w:t xml:space="preserve">ployment pushes down wages, and increases </w:t>
      </w:r>
      <w:r w:rsidRPr="00831FD0">
        <w:rPr>
          <w:rFonts w:eastAsiaTheme="minorEastAsia"/>
        </w:rPr>
        <w:t>hiring, thus improving jobs, and returning towards full employment.</w:t>
      </w:r>
    </w:p>
    <w:p w14:paraId="17B34AF8" w14:textId="77777777" w:rsidR="00A50849" w:rsidRDefault="002E0624" w:rsidP="00831FD0">
      <w:pPr>
        <w:spacing w:after="200"/>
        <w:rPr>
          <w:rFonts w:eastAsiaTheme="minorEastAsia"/>
        </w:rPr>
      </w:pPr>
      <w:r>
        <w:rPr>
          <w:rFonts w:eastAsiaTheme="minorEastAsia"/>
        </w:rPr>
        <w:t xml:space="preserve">Total U.S. GDP losses average $135 billion to $257 billion annually over the 2020-2040 period in the 10% and 25% electricity price increase simulations, respectively. The cumulative loss in </w:t>
      </w:r>
      <w:r w:rsidR="00111AE3">
        <w:rPr>
          <w:rFonts w:eastAsiaTheme="minorEastAsia"/>
        </w:rPr>
        <w:t xml:space="preserve">U.S. </w:t>
      </w:r>
      <w:r>
        <w:rPr>
          <w:rFonts w:eastAsiaTheme="minorEastAsia"/>
        </w:rPr>
        <w:t xml:space="preserve">GDP </w:t>
      </w:r>
      <w:r w:rsidR="00111AE3">
        <w:rPr>
          <w:rFonts w:eastAsiaTheme="minorEastAsia"/>
        </w:rPr>
        <w:t>over the 2020-2040 period is $2.8 trillion and</w:t>
      </w:r>
      <w:r>
        <w:rPr>
          <w:rFonts w:eastAsiaTheme="minorEastAsia"/>
        </w:rPr>
        <w:t xml:space="preserve"> $5.4 trillion, respectively. </w:t>
      </w:r>
      <w:r w:rsidR="0079091D">
        <w:rPr>
          <w:rFonts w:eastAsiaTheme="minorEastAsia"/>
        </w:rPr>
        <w:t xml:space="preserve">Annual </w:t>
      </w:r>
      <w:r w:rsidR="00384A61">
        <w:rPr>
          <w:rFonts w:eastAsiaTheme="minorEastAsia"/>
        </w:rPr>
        <w:t>GDP declin</w:t>
      </w:r>
      <w:r w:rsidR="00C87E3C">
        <w:rPr>
          <w:rFonts w:eastAsiaTheme="minorEastAsia"/>
        </w:rPr>
        <w:t>es in Co-op Nation average</w:t>
      </w:r>
      <w:r w:rsidR="00626448">
        <w:rPr>
          <w:rFonts w:eastAsiaTheme="minorEastAsia"/>
        </w:rPr>
        <w:t xml:space="preserve"> $48</w:t>
      </w:r>
      <w:r w:rsidR="00384A61">
        <w:rPr>
          <w:rFonts w:eastAsiaTheme="minorEastAsia"/>
        </w:rPr>
        <w:t xml:space="preserve"> billion and $92 billion</w:t>
      </w:r>
      <w:r w:rsidR="00C87E3C" w:rsidRPr="00C87E3C">
        <w:rPr>
          <w:rFonts w:eastAsiaTheme="minorEastAsia"/>
        </w:rPr>
        <w:t xml:space="preserve"> </w:t>
      </w:r>
      <w:r w:rsidR="00C87E3C">
        <w:rPr>
          <w:rFonts w:eastAsiaTheme="minorEastAsia"/>
        </w:rPr>
        <w:t xml:space="preserve">in the 10% and 25% cases, respectively.  Cumulative </w:t>
      </w:r>
      <w:r w:rsidR="00111AE3">
        <w:rPr>
          <w:rFonts w:eastAsiaTheme="minorEastAsia"/>
        </w:rPr>
        <w:t xml:space="preserve">GDP </w:t>
      </w:r>
      <w:r w:rsidR="00C87E3C">
        <w:rPr>
          <w:rFonts w:eastAsiaTheme="minorEastAsia"/>
        </w:rPr>
        <w:t xml:space="preserve">losses </w:t>
      </w:r>
      <w:r w:rsidR="00111AE3">
        <w:rPr>
          <w:rFonts w:eastAsiaTheme="minorEastAsia"/>
        </w:rPr>
        <w:t xml:space="preserve">in Co-op Nation and vicinity </w:t>
      </w:r>
      <w:r w:rsidR="00C87E3C">
        <w:rPr>
          <w:rFonts w:eastAsiaTheme="minorEastAsia"/>
        </w:rPr>
        <w:t xml:space="preserve">total </w:t>
      </w:r>
      <w:r>
        <w:rPr>
          <w:rFonts w:eastAsiaTheme="minorEastAsia"/>
        </w:rPr>
        <w:t>$1</w:t>
      </w:r>
      <w:r w:rsidR="00626448">
        <w:rPr>
          <w:rFonts w:eastAsiaTheme="minorEastAsia"/>
        </w:rPr>
        <w:t xml:space="preserve"> trillion and $1.9</w:t>
      </w:r>
      <w:r>
        <w:rPr>
          <w:rFonts w:eastAsiaTheme="minorEastAsia"/>
        </w:rPr>
        <w:t xml:space="preserve"> trillion over the 2020 – 2040 p</w:t>
      </w:r>
      <w:r w:rsidR="00C87E3C">
        <w:rPr>
          <w:rFonts w:eastAsiaTheme="minorEastAsia"/>
        </w:rPr>
        <w:t>eriod, respectively.</w:t>
      </w:r>
      <w:r w:rsidR="00111AE3">
        <w:rPr>
          <w:rFonts w:eastAsiaTheme="minorEastAsia"/>
        </w:rPr>
        <w:t xml:space="preserve">  For the rest of the USA</w:t>
      </w:r>
      <w:r w:rsidR="006B04F1">
        <w:rPr>
          <w:rFonts w:eastAsiaTheme="minorEastAsia"/>
        </w:rPr>
        <w:t xml:space="preserve">, annual GDP decreases average $86 and $165 billion </w:t>
      </w:r>
      <w:r w:rsidR="00C87E3C">
        <w:rPr>
          <w:rFonts w:eastAsiaTheme="minorEastAsia"/>
        </w:rPr>
        <w:t xml:space="preserve">and total $1.8 and </w:t>
      </w:r>
      <w:r w:rsidR="00626448">
        <w:rPr>
          <w:rFonts w:eastAsiaTheme="minorEastAsia"/>
        </w:rPr>
        <w:t>$</w:t>
      </w:r>
      <w:r w:rsidR="00C87E3C">
        <w:rPr>
          <w:rFonts w:eastAsiaTheme="minorEastAsia"/>
        </w:rPr>
        <w:t xml:space="preserve">3.5 trillion over the 2020-2040 period </w:t>
      </w:r>
      <w:r w:rsidR="006B04F1">
        <w:rPr>
          <w:rFonts w:eastAsiaTheme="minorEastAsia"/>
        </w:rPr>
        <w:t xml:space="preserve">in the 10% and 25% electricity price increase cases, respectively. </w:t>
      </w:r>
    </w:p>
    <w:p w14:paraId="544FB980" w14:textId="77777777" w:rsidR="00111AE3" w:rsidRDefault="00E0042D" w:rsidP="00111AE3">
      <w:pPr>
        <w:spacing w:after="200"/>
      </w:pPr>
      <w:r>
        <w:t>Co-op Nation and vicinity, however, suffer</w:t>
      </w:r>
      <w:r w:rsidR="005C7015">
        <w:t>s</w:t>
      </w:r>
      <w:r>
        <w:t xml:space="preserve"> higher relative impacts than the rest of the U.S. The </w:t>
      </w:r>
      <w:r w:rsidR="009D6CA4">
        <w:t xml:space="preserve">percentage </w:t>
      </w:r>
      <w:r>
        <w:t xml:space="preserve">a loss in GDP in the 10% electricity price increase case is 0.73% in Co-op Nation and 0.46% in the rest of the U.S.  A 25% electricity price increase leads to a loss of GDP of 1.39% in Co-op Nation and vicinity compared to a 0.89% decline in the GDP of the rest of the U.S. </w:t>
      </w:r>
    </w:p>
    <w:p w14:paraId="118C4031" w14:textId="77777777" w:rsidR="00C43E68" w:rsidRDefault="00D3767E" w:rsidP="00D3767E">
      <w:r w:rsidRPr="00F75299">
        <w:t>Figure</w:t>
      </w:r>
      <w:r w:rsidR="00841E8E">
        <w:t>s</w:t>
      </w:r>
      <w:r w:rsidRPr="00F75299">
        <w:t xml:space="preserve"> 3.1 – </w:t>
      </w:r>
      <w:r w:rsidR="00841E8E">
        <w:t xml:space="preserve">3.4 show the GDP impacts from electricity price increases on a sector-by-sector basis.  A </w:t>
      </w:r>
      <w:r w:rsidRPr="00F75299">
        <w:t>10% increase generally drives business activity out of Co-op Natio</w:t>
      </w:r>
      <w:r>
        <w:t>n and into the rest of the world</w:t>
      </w:r>
      <w:r w:rsidRPr="00F75299">
        <w:t xml:space="preserve"> in the model. Some of the dollars do remain</w:t>
      </w:r>
      <w:r>
        <w:t xml:space="preserve"> in the rest of the USA</w:t>
      </w:r>
      <w:r w:rsidR="00841E8E">
        <w:t>, in Figure 3.</w:t>
      </w:r>
      <w:r w:rsidRPr="00F75299">
        <w:t xml:space="preserve">4, within the professional services industry, though most move out of the United States from a decrease in competitiveness. The results in the 25% increase scenarios post a similar result. </w:t>
      </w:r>
    </w:p>
    <w:p w14:paraId="4C873F5D" w14:textId="77777777" w:rsidR="00C43E68" w:rsidRDefault="00C43E68" w:rsidP="00D3767E"/>
    <w:p w14:paraId="7B96A906" w14:textId="77777777" w:rsidR="00841E8E" w:rsidRDefault="00841E8E" w:rsidP="00D3767E">
      <w:r w:rsidRPr="00F75299">
        <w:lastRenderedPageBreak/>
        <w:t xml:space="preserve">Sectors </w:t>
      </w:r>
      <w:r>
        <w:t xml:space="preserve">in Co-op Nation and vicinity </w:t>
      </w:r>
      <w:r w:rsidRPr="00F75299">
        <w:t xml:space="preserve">with concentrated losses to their GDP contribution include state and local government, the construction sector, retail trade, manufacturing, and healthcare. Many of the sectors with the smaller impact in absolute terms above </w:t>
      </w:r>
      <w:r>
        <w:t xml:space="preserve">tend to be </w:t>
      </w:r>
      <w:r w:rsidRPr="00F75299">
        <w:t xml:space="preserve">smaller sectors </w:t>
      </w:r>
      <w:r>
        <w:t xml:space="preserve">of the economy. </w:t>
      </w:r>
      <w:r w:rsidRPr="00D3767E">
        <w:t xml:space="preserve"> </w:t>
      </w:r>
    </w:p>
    <w:p w14:paraId="5DDF4E01" w14:textId="77777777" w:rsidR="00D3767E" w:rsidRPr="00F75299" w:rsidRDefault="00D3767E" w:rsidP="00D3767E">
      <w:r w:rsidRPr="00F75299">
        <w:t xml:space="preserve">The results for the rest of the United States are similar, though exaggerated with the larger economy in the remainder of the nation, and the slight offset for professional services. Real estate makes a large appearance here given it is much like manufacturing—a large output industry that </w:t>
      </w:r>
      <w:r w:rsidR="00854B95">
        <w:t xml:space="preserve">is capital intensive and </w:t>
      </w:r>
      <w:r w:rsidRPr="00F75299">
        <w:t>requires only diminutive inputs in terms of labor.</w:t>
      </w:r>
    </w:p>
    <w:p w14:paraId="5AC05BE5" w14:textId="77777777" w:rsidR="00D3767E" w:rsidRPr="00F75299" w:rsidRDefault="00D3767E" w:rsidP="00D3767E"/>
    <w:p w14:paraId="209250BC" w14:textId="77777777" w:rsidR="00111AE3" w:rsidRDefault="00111AE3" w:rsidP="00536E3B">
      <w:pPr>
        <w:tabs>
          <w:tab w:val="left" w:pos="990"/>
        </w:tabs>
        <w:spacing w:after="200"/>
        <w:rPr>
          <w:b/>
        </w:rPr>
      </w:pPr>
    </w:p>
    <w:p w14:paraId="28300F65" w14:textId="77777777" w:rsidR="00831FD0" w:rsidRPr="008647AB" w:rsidRDefault="00536E3B" w:rsidP="00536E3B">
      <w:pPr>
        <w:tabs>
          <w:tab w:val="left" w:pos="990"/>
        </w:tabs>
        <w:spacing w:after="200"/>
        <w:rPr>
          <w:b/>
        </w:rPr>
      </w:pPr>
      <w:r w:rsidRPr="008647AB">
        <w:rPr>
          <w:b/>
        </w:rPr>
        <w:t>Figure 3</w:t>
      </w:r>
      <w:r w:rsidRPr="008647AB">
        <w:rPr>
          <w:b/>
        </w:rPr>
        <w:tab/>
      </w:r>
      <w:r w:rsidR="00697DFA" w:rsidRPr="008647AB">
        <w:rPr>
          <w:b/>
        </w:rPr>
        <w:t>Gross Domestic Product</w:t>
      </w:r>
      <w:r w:rsidRPr="008647AB">
        <w:rPr>
          <w:b/>
        </w:rPr>
        <w:t xml:space="preserve"> (absolute and </w:t>
      </w:r>
      <w:r w:rsidR="00936086">
        <w:rPr>
          <w:b/>
        </w:rPr>
        <w:t>percentage</w:t>
      </w:r>
      <w:r w:rsidRPr="008647AB">
        <w:rPr>
          <w:b/>
        </w:rPr>
        <w:t xml:space="preserve"> change)</w:t>
      </w:r>
    </w:p>
    <w:p w14:paraId="56CB5A06" w14:textId="77777777" w:rsidR="00697DFA" w:rsidRDefault="00450A28" w:rsidP="00AC6296">
      <w:pPr>
        <w:spacing w:line="240" w:lineRule="auto"/>
        <w:rPr>
          <w:b/>
        </w:rPr>
      </w:pPr>
      <w:r w:rsidRPr="00450A28">
        <w:rPr>
          <w:b/>
          <w:noProof/>
        </w:rPr>
        <mc:AlternateContent>
          <mc:Choice Requires="wps">
            <w:drawing>
              <wp:anchor distT="0" distB="0" distL="114300" distR="114300" simplePos="0" relativeHeight="251661312" behindDoc="0" locked="0" layoutInCell="1" allowOverlap="1" wp14:anchorId="45F116BC" wp14:editId="4D01FF31">
                <wp:simplePos x="0" y="0"/>
                <wp:positionH relativeFrom="column">
                  <wp:posOffset>1267460</wp:posOffset>
                </wp:positionH>
                <wp:positionV relativeFrom="paragraph">
                  <wp:posOffset>1675501</wp:posOffset>
                </wp:positionV>
                <wp:extent cx="1612900" cy="4413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441325"/>
                        </a:xfrm>
                        <a:prstGeom prst="rect">
                          <a:avLst/>
                        </a:prstGeom>
                        <a:noFill/>
                        <a:ln w="9525">
                          <a:noFill/>
                          <a:miter lim="800000"/>
                          <a:headEnd/>
                          <a:tailEnd/>
                        </a:ln>
                      </wps:spPr>
                      <wps:txbx>
                        <w:txbxContent>
                          <w:p w14:paraId="6A615740" w14:textId="77777777" w:rsidR="002E3219" w:rsidRDefault="002E3219" w:rsidP="00450A28">
                            <w:pPr>
                              <w:spacing w:line="240" w:lineRule="auto"/>
                              <w:contextualSpacing/>
                            </w:pPr>
                            <w:r>
                              <w:t>10% kWh price increase</w:t>
                            </w:r>
                          </w:p>
                          <w:p w14:paraId="335D2365" w14:textId="77777777" w:rsidR="002E3219" w:rsidRDefault="002E3219" w:rsidP="00450A28">
                            <w:pPr>
                              <w:spacing w:line="240" w:lineRule="auto"/>
                              <w:contextualSpacing/>
                            </w:pPr>
                            <w:r>
                              <w:t>25% kWh price increase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xmlns:w15="http://schemas.microsoft.com/office/word/2012/wordml">
            <w:pict>
              <v:shape id="_x0000_s1028" type="#_x0000_t202" style="position:absolute;margin-left:99.8pt;margin-top:131.95pt;width:127pt;height:34.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" filled="f" stroked="f">
                <v:textbox style="mso-fit-shape-to-text:t">
                  <w:txbxContent>
                    <w:p w:rsidR="002E3219" w:rsidRDefault="002E3219" w:rsidP="00450A28">
                      <w:pPr>
                        <w:spacing w:line="240" w:lineRule="auto"/>
                        <w:contextualSpacing/>
                      </w:pPr>
                      <w:r>
                        <w:t>10% kWh price increase</w:t>
                      </w:r>
                    </w:p>
                    <w:p w:rsidR="002E3219" w:rsidRDefault="002E3219" w:rsidP="00450A28">
                      <w:pPr>
                        <w:spacing w:line="240" w:lineRule="auto"/>
                        <w:contextualSpacing/>
                      </w:pPr>
                      <w:r>
                        <w:t>25% kWh price increase</w:t>
                      </w:r>
                    </w:p>
                  </w:txbxContent>
                </v:textbox>
              </v:shape>
            </w:pict>
          </mc:Fallback>
        </mc:AlternateContent>
      </w:r>
      <w:r w:rsidR="00697DFA" w:rsidRPr="0087458A">
        <w:rPr>
          <w:noProof/>
        </w:rPr>
        <w:drawing>
          <wp:inline distT="0" distB="0" distL="0" distR="0" wp14:anchorId="60A7CCEC" wp14:editId="206D5693">
            <wp:extent cx="2976113" cy="2622430"/>
            <wp:effectExtent l="0" t="0" r="0" b="0"/>
            <wp:docPr id="2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697DFA" w:rsidRPr="0087458A">
        <w:rPr>
          <w:noProof/>
        </w:rPr>
        <w:drawing>
          <wp:inline distT="0" distB="0" distL="0" distR="0" wp14:anchorId="1D9EFAE7" wp14:editId="770C3DEA">
            <wp:extent cx="2950234" cy="2622430"/>
            <wp:effectExtent l="0" t="0" r="0" b="0"/>
            <wp:docPr id="2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498B32" w14:textId="77777777" w:rsidR="00697DFA" w:rsidRDefault="00697DFA" w:rsidP="00AC6296">
      <w:pPr>
        <w:spacing w:line="240" w:lineRule="auto"/>
        <w:rPr>
          <w:b/>
        </w:rPr>
      </w:pPr>
    </w:p>
    <w:p w14:paraId="6A6DD008" w14:textId="77777777" w:rsidR="00AE51C5" w:rsidRDefault="00AE51C5" w:rsidP="00AC6296">
      <w:pPr>
        <w:spacing w:line="240" w:lineRule="auto"/>
        <w:rPr>
          <w:b/>
        </w:rPr>
      </w:pPr>
    </w:p>
    <w:p w14:paraId="11D2BF11" w14:textId="77777777" w:rsidR="00AE51C5" w:rsidRDefault="00AE51C5" w:rsidP="00AC6296">
      <w:pPr>
        <w:spacing w:line="240" w:lineRule="auto"/>
        <w:rPr>
          <w:b/>
        </w:rPr>
      </w:pPr>
    </w:p>
    <w:p w14:paraId="5CF8A1D3" w14:textId="77777777" w:rsidR="00AE51C5" w:rsidRDefault="00AE51C5" w:rsidP="00AC6296">
      <w:pPr>
        <w:spacing w:line="240" w:lineRule="auto"/>
        <w:rPr>
          <w:b/>
        </w:rPr>
      </w:pPr>
    </w:p>
    <w:p w14:paraId="496513C3" w14:textId="77777777" w:rsidR="00BE7B0C" w:rsidRDefault="00450A28" w:rsidP="00AC6296">
      <w:pPr>
        <w:spacing w:line="240" w:lineRule="auto"/>
        <w:rPr>
          <w:b/>
        </w:rPr>
      </w:pPr>
      <w:r w:rsidRPr="00450A28">
        <w:rPr>
          <w:b/>
          <w:noProof/>
        </w:rPr>
        <mc:AlternateContent>
          <mc:Choice Requires="wps">
            <w:drawing>
              <wp:anchor distT="0" distB="0" distL="114300" distR="114300" simplePos="0" relativeHeight="251663360" behindDoc="0" locked="0" layoutInCell="1" allowOverlap="1" wp14:anchorId="2BB03D95" wp14:editId="23375579">
                <wp:simplePos x="0" y="0"/>
                <wp:positionH relativeFrom="column">
                  <wp:posOffset>4188064</wp:posOffset>
                </wp:positionH>
                <wp:positionV relativeFrom="paragraph">
                  <wp:posOffset>1457696</wp:posOffset>
                </wp:positionV>
                <wp:extent cx="1742440" cy="441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441325"/>
                        </a:xfrm>
                        <a:prstGeom prst="rect">
                          <a:avLst/>
                        </a:prstGeom>
                        <a:noFill/>
                        <a:ln w="9525">
                          <a:noFill/>
                          <a:miter lim="800000"/>
                          <a:headEnd/>
                          <a:tailEnd/>
                        </a:ln>
                      </wps:spPr>
                      <wps:txbx>
                        <w:txbxContent>
                          <w:p w14:paraId="4B83A9EE" w14:textId="77777777" w:rsidR="002E3219" w:rsidRDefault="002E3219" w:rsidP="00450A28">
                            <w:pPr>
                              <w:spacing w:line="240" w:lineRule="auto"/>
                            </w:pPr>
                            <w:r>
                              <w:t>10% kWh price increase</w:t>
                            </w:r>
                          </w:p>
                          <w:p w14:paraId="151ADF1D" w14:textId="77777777" w:rsidR="002E3219" w:rsidRDefault="002E3219" w:rsidP="00450A28">
                            <w:pPr>
                              <w:spacing w:line="240" w:lineRule="auto"/>
                            </w:pPr>
                            <w:r>
                              <w:t>25% kWh price increase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xmlns:w15="http://schemas.microsoft.com/office/word/2012/wordml">
            <w:pict>
              <v:shape id="_x0000_s1029" type="#_x0000_t202" style="position:absolute;margin-left:329.75pt;margin-top:114.8pt;width:137.2pt;height:34.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" filled="f" stroked="f">
                <v:textbox style="mso-fit-shape-to-text:t">
                  <w:txbxContent>
                    <w:p w:rsidR="002E3219" w:rsidRDefault="002E3219" w:rsidP="00450A28">
                      <w:pPr>
                        <w:spacing w:line="240" w:lineRule="auto"/>
                      </w:pPr>
                      <w:r>
                        <w:t>10% kWh price increase</w:t>
                      </w:r>
                    </w:p>
                    <w:p w:rsidR="002E3219" w:rsidRDefault="002E3219" w:rsidP="00450A28">
                      <w:pPr>
                        <w:spacing w:line="240" w:lineRule="auto"/>
                      </w:pPr>
                      <w:r>
                        <w:t>25% kWh price increase</w:t>
                      </w:r>
                    </w:p>
                  </w:txbxContent>
                </v:textbox>
              </v:shape>
            </w:pict>
          </mc:Fallback>
        </mc:AlternateContent>
      </w:r>
      <w:r w:rsidR="00697DFA">
        <w:rPr>
          <w:noProof/>
        </w:rPr>
        <w:drawing>
          <wp:inline distT="0" distB="0" distL="0" distR="0" wp14:anchorId="1CD6BC5B" wp14:editId="7504A7C7">
            <wp:extent cx="2924355" cy="2656936"/>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697DFA">
        <w:rPr>
          <w:noProof/>
        </w:rPr>
        <w:drawing>
          <wp:inline distT="0" distB="0" distL="0" distR="0" wp14:anchorId="4EA56A63" wp14:editId="3AEF43CA">
            <wp:extent cx="2941607" cy="2613804"/>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B40033" w14:textId="77777777" w:rsidR="00697DFA" w:rsidRDefault="00697DFA" w:rsidP="00AC6296">
      <w:pPr>
        <w:spacing w:line="240" w:lineRule="auto"/>
        <w:rPr>
          <w:b/>
        </w:rPr>
      </w:pPr>
    </w:p>
    <w:p w14:paraId="25786EA2" w14:textId="77777777" w:rsidR="00766D42" w:rsidRDefault="00F75299" w:rsidP="00766D42">
      <w:pPr>
        <w:pStyle w:val="Heading3"/>
        <w:rPr>
          <w:color w:val="auto"/>
        </w:rPr>
      </w:pPr>
      <w:r w:rsidRPr="00F75299">
        <w:rPr>
          <w:color w:val="auto"/>
        </w:rPr>
        <w:t>Figure 3.1   Ch</w:t>
      </w:r>
      <w:r>
        <w:rPr>
          <w:color w:val="auto"/>
        </w:rPr>
        <w:t>ange</w:t>
      </w:r>
      <w:r w:rsidRPr="00F75299">
        <w:rPr>
          <w:color w:val="auto"/>
        </w:rPr>
        <w:t xml:space="preserve"> in GDP </w:t>
      </w:r>
      <w:r w:rsidR="00766D42" w:rsidRPr="00F75299">
        <w:rPr>
          <w:color w:val="auto"/>
        </w:rPr>
        <w:t xml:space="preserve">By Sector (10% increase, </w:t>
      </w:r>
      <w:r w:rsidR="00766D42" w:rsidRPr="00F75299">
        <w:rPr>
          <w:color w:val="auto"/>
          <w:u w:val="single"/>
        </w:rPr>
        <w:t>Co-op Nation</w:t>
      </w:r>
      <w:r w:rsidR="00766D42" w:rsidRPr="00F75299">
        <w:rPr>
          <w:color w:val="auto"/>
        </w:rPr>
        <w:t>, ann</w:t>
      </w:r>
      <w:r>
        <w:rPr>
          <w:color w:val="auto"/>
        </w:rPr>
        <w:t>.</w:t>
      </w:r>
      <w:r w:rsidR="00766D42" w:rsidRPr="00F75299">
        <w:rPr>
          <w:color w:val="auto"/>
        </w:rPr>
        <w:t xml:space="preserve"> av</w:t>
      </w:r>
      <w:r>
        <w:rPr>
          <w:color w:val="auto"/>
        </w:rPr>
        <w:t xml:space="preserve">g. </w:t>
      </w:r>
      <w:r w:rsidR="00766D42" w:rsidRPr="00F75299">
        <w:rPr>
          <w:color w:val="auto"/>
        </w:rPr>
        <w:t xml:space="preserve"> 2016-2040)</w:t>
      </w:r>
    </w:p>
    <w:p w14:paraId="183908FB" w14:textId="77777777" w:rsidR="00AF1FCC" w:rsidRDefault="00AF1FCC" w:rsidP="00AF1FCC">
      <w:pPr>
        <w:tabs>
          <w:tab w:val="left" w:pos="1170"/>
        </w:tabs>
        <w:rPr>
          <w:rFonts w:asciiTheme="majorHAnsi" w:hAnsiTheme="majorHAnsi"/>
        </w:rPr>
      </w:pPr>
      <w:r>
        <w:tab/>
      </w:r>
      <w:r w:rsidRPr="00AF1FCC">
        <w:rPr>
          <w:rFonts w:asciiTheme="majorHAnsi" w:hAnsiTheme="majorHAnsi"/>
        </w:rPr>
        <w:t>(millions of 2015$)</w:t>
      </w:r>
    </w:p>
    <w:p w14:paraId="5F1A4DA3" w14:textId="77777777" w:rsidR="00AF1FCC" w:rsidRPr="00AF1FCC" w:rsidRDefault="00AF1FCC" w:rsidP="00AF1FCC">
      <w:pPr>
        <w:tabs>
          <w:tab w:val="left" w:pos="1170"/>
        </w:tabs>
        <w:rPr>
          <w:rFonts w:asciiTheme="majorHAnsi" w:hAnsiTheme="majorHAnsi"/>
        </w:rPr>
      </w:pPr>
    </w:p>
    <w:p w14:paraId="0F2158DC" w14:textId="77777777" w:rsidR="00766D42" w:rsidRDefault="00766D42" w:rsidP="00766D42">
      <w:pPr>
        <w:jc w:val="center"/>
      </w:pPr>
      <w:r w:rsidRPr="00DB7A7F">
        <w:rPr>
          <w:noProof/>
          <w:color w:val="C00000"/>
        </w:rPr>
        <w:drawing>
          <wp:inline distT="0" distB="0" distL="0" distR="0" wp14:anchorId="08085E79" wp14:editId="441D0360">
            <wp:extent cx="5940006" cy="2743200"/>
            <wp:effectExtent l="0" t="0" r="0"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D5A9FF4" w14:textId="77777777" w:rsidR="00841E8E" w:rsidRDefault="00841E8E" w:rsidP="00766D42">
      <w:pPr>
        <w:pStyle w:val="Heading3"/>
        <w:rPr>
          <w:color w:val="auto"/>
        </w:rPr>
      </w:pPr>
    </w:p>
    <w:p w14:paraId="68B717AC" w14:textId="77777777" w:rsidR="00AE51C5" w:rsidRDefault="00AE51C5" w:rsidP="00103E16"/>
    <w:p w14:paraId="53141EFD" w14:textId="77777777" w:rsidR="00AE51C5" w:rsidRPr="00103E16" w:rsidRDefault="00AE51C5" w:rsidP="00103E16"/>
    <w:p w14:paraId="45F5B344" w14:textId="77777777" w:rsidR="00841E8E" w:rsidRDefault="00841E8E" w:rsidP="00766D42">
      <w:pPr>
        <w:pStyle w:val="Heading3"/>
        <w:rPr>
          <w:color w:val="auto"/>
        </w:rPr>
      </w:pPr>
    </w:p>
    <w:p w14:paraId="7DEB0BFE" w14:textId="77777777" w:rsidR="00766D42" w:rsidRDefault="00F75299" w:rsidP="00766D42">
      <w:pPr>
        <w:pStyle w:val="Heading3"/>
        <w:rPr>
          <w:color w:val="auto"/>
        </w:rPr>
      </w:pPr>
      <w:r w:rsidRPr="00F75299">
        <w:rPr>
          <w:color w:val="auto"/>
        </w:rPr>
        <w:t xml:space="preserve">Figure 3.2   Change in GDP </w:t>
      </w:r>
      <w:r w:rsidR="00766D42" w:rsidRPr="00F75299">
        <w:rPr>
          <w:color w:val="auto"/>
        </w:rPr>
        <w:t xml:space="preserve">By Sector (10% increase, </w:t>
      </w:r>
      <w:r w:rsidR="00766D42" w:rsidRPr="00F75299">
        <w:rPr>
          <w:color w:val="auto"/>
          <w:u w:val="single"/>
        </w:rPr>
        <w:t>Rest of USA</w:t>
      </w:r>
      <w:r w:rsidR="00766D42" w:rsidRPr="00F75299">
        <w:rPr>
          <w:color w:val="auto"/>
        </w:rPr>
        <w:t>, ann</w:t>
      </w:r>
      <w:r w:rsidRPr="00F75299">
        <w:rPr>
          <w:color w:val="auto"/>
        </w:rPr>
        <w:t>.</w:t>
      </w:r>
      <w:r w:rsidR="00766D42" w:rsidRPr="00F75299">
        <w:rPr>
          <w:color w:val="auto"/>
        </w:rPr>
        <w:t xml:space="preserve"> av</w:t>
      </w:r>
      <w:r w:rsidRPr="00F75299">
        <w:rPr>
          <w:color w:val="auto"/>
        </w:rPr>
        <w:t>g.</w:t>
      </w:r>
      <w:r w:rsidR="00766D42" w:rsidRPr="00F75299">
        <w:rPr>
          <w:color w:val="auto"/>
        </w:rPr>
        <w:t xml:space="preserve"> 2016-2040)</w:t>
      </w:r>
    </w:p>
    <w:p w14:paraId="3D381CBD" w14:textId="77777777" w:rsidR="00AF1FCC" w:rsidRPr="00AF1FCC" w:rsidRDefault="00AF1FCC" w:rsidP="00AF1FCC">
      <w:pPr>
        <w:tabs>
          <w:tab w:val="left" w:pos="1170"/>
        </w:tabs>
        <w:rPr>
          <w:rFonts w:asciiTheme="majorHAnsi" w:hAnsiTheme="majorHAnsi"/>
        </w:rPr>
      </w:pPr>
      <w:r>
        <w:rPr>
          <w:rFonts w:asciiTheme="majorHAnsi" w:hAnsiTheme="majorHAnsi"/>
        </w:rPr>
        <w:tab/>
      </w:r>
      <w:r w:rsidRPr="00AF1FCC">
        <w:rPr>
          <w:rFonts w:asciiTheme="majorHAnsi" w:hAnsiTheme="majorHAnsi"/>
        </w:rPr>
        <w:t>(millions of 2015$)</w:t>
      </w:r>
    </w:p>
    <w:p w14:paraId="2CB3561A" w14:textId="77777777" w:rsidR="00AF1FCC" w:rsidRPr="00AF1FCC" w:rsidRDefault="00AF1FCC" w:rsidP="00AF1FCC">
      <w:pPr>
        <w:tabs>
          <w:tab w:val="left" w:pos="1170"/>
        </w:tabs>
      </w:pPr>
    </w:p>
    <w:p w14:paraId="76FAFC4F" w14:textId="77777777" w:rsidR="00766D42" w:rsidRDefault="00766D42" w:rsidP="00766D42">
      <w:pPr>
        <w:jc w:val="center"/>
        <w:rPr>
          <w:i/>
        </w:rPr>
      </w:pPr>
      <w:r w:rsidRPr="001132DA">
        <w:rPr>
          <w:i/>
          <w:noProof/>
        </w:rPr>
        <w:drawing>
          <wp:inline distT="0" distB="0" distL="0" distR="0" wp14:anchorId="2817554A" wp14:editId="222FC270">
            <wp:extent cx="5943600" cy="2743200"/>
            <wp:effectExtent l="0" t="0" r="0" b="0"/>
            <wp:docPr id="2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5AE4CE0" w14:textId="77777777" w:rsidR="00F75299" w:rsidRDefault="00F75299" w:rsidP="00F75299">
      <w:pPr>
        <w:pStyle w:val="Heading3"/>
        <w:rPr>
          <w:color w:val="auto"/>
        </w:rPr>
      </w:pPr>
      <w:r w:rsidRPr="00F75299">
        <w:rPr>
          <w:color w:val="auto"/>
        </w:rPr>
        <w:lastRenderedPageBreak/>
        <w:t xml:space="preserve">Figure 3.3   Change By Sector (25% increase, </w:t>
      </w:r>
      <w:r w:rsidRPr="00F75299">
        <w:rPr>
          <w:color w:val="auto"/>
          <w:u w:val="single"/>
        </w:rPr>
        <w:t>Co-op Nation</w:t>
      </w:r>
      <w:r w:rsidRPr="00F75299">
        <w:rPr>
          <w:color w:val="auto"/>
        </w:rPr>
        <w:t>, ann. avg. 2016-2040)</w:t>
      </w:r>
    </w:p>
    <w:p w14:paraId="5AC7EFAF" w14:textId="77777777" w:rsidR="00AF1FCC" w:rsidRPr="00AF1FCC" w:rsidRDefault="00AF1FCC" w:rsidP="00AF1FCC">
      <w:pPr>
        <w:tabs>
          <w:tab w:val="left" w:pos="1170"/>
        </w:tabs>
        <w:rPr>
          <w:rFonts w:asciiTheme="majorHAnsi" w:hAnsiTheme="majorHAnsi"/>
        </w:rPr>
      </w:pPr>
      <w:r>
        <w:rPr>
          <w:rFonts w:asciiTheme="majorHAnsi" w:hAnsiTheme="majorHAnsi"/>
        </w:rPr>
        <w:tab/>
      </w:r>
      <w:r w:rsidRPr="00AF1FCC">
        <w:rPr>
          <w:rFonts w:asciiTheme="majorHAnsi" w:hAnsiTheme="majorHAnsi"/>
        </w:rPr>
        <w:t>(millions of 2015$)</w:t>
      </w:r>
    </w:p>
    <w:p w14:paraId="43430343" w14:textId="77777777" w:rsidR="00AF1FCC" w:rsidRPr="00AF1FCC" w:rsidRDefault="00AF1FCC" w:rsidP="00AF1FCC"/>
    <w:p w14:paraId="7CE0F063" w14:textId="77777777" w:rsidR="00F75299" w:rsidRDefault="00F75299" w:rsidP="00F75299">
      <w:pPr>
        <w:jc w:val="center"/>
      </w:pPr>
      <w:r w:rsidRPr="00AB2A8D">
        <w:rPr>
          <w:noProof/>
        </w:rPr>
        <w:drawing>
          <wp:inline distT="0" distB="0" distL="0" distR="0" wp14:anchorId="1D431244" wp14:editId="31206A6F">
            <wp:extent cx="5943600" cy="2743200"/>
            <wp:effectExtent l="0" t="0" r="0"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72F801" w14:textId="77777777" w:rsidR="00841E8E" w:rsidRDefault="00841E8E" w:rsidP="00F75299">
      <w:pPr>
        <w:pStyle w:val="Heading3"/>
        <w:rPr>
          <w:color w:val="auto"/>
        </w:rPr>
      </w:pPr>
    </w:p>
    <w:p w14:paraId="41A129E3" w14:textId="77777777" w:rsidR="00841E8E" w:rsidRDefault="00841E8E" w:rsidP="00F75299">
      <w:pPr>
        <w:pStyle w:val="Heading3"/>
        <w:rPr>
          <w:color w:val="auto"/>
        </w:rPr>
      </w:pPr>
    </w:p>
    <w:p w14:paraId="5ED0B60A" w14:textId="77777777" w:rsidR="00841E8E" w:rsidRDefault="00841E8E" w:rsidP="00F75299">
      <w:pPr>
        <w:pStyle w:val="Heading3"/>
        <w:rPr>
          <w:color w:val="auto"/>
        </w:rPr>
      </w:pPr>
    </w:p>
    <w:p w14:paraId="07E48FE7" w14:textId="77777777" w:rsidR="00F75299" w:rsidRDefault="00F75299" w:rsidP="00F75299">
      <w:pPr>
        <w:pStyle w:val="Heading3"/>
        <w:rPr>
          <w:color w:val="auto"/>
        </w:rPr>
      </w:pPr>
      <w:r w:rsidRPr="00F75299">
        <w:rPr>
          <w:color w:val="auto"/>
        </w:rPr>
        <w:t xml:space="preserve">Figure 3.4   Change in GDP By Sector (25% increase, </w:t>
      </w:r>
      <w:r w:rsidRPr="00F75299">
        <w:rPr>
          <w:color w:val="auto"/>
          <w:u w:val="single"/>
        </w:rPr>
        <w:t>Rest of USA</w:t>
      </w:r>
      <w:r w:rsidRPr="00F75299">
        <w:rPr>
          <w:color w:val="auto"/>
        </w:rPr>
        <w:t>, ann. avg. 2016-2040)</w:t>
      </w:r>
    </w:p>
    <w:p w14:paraId="66714477" w14:textId="77777777" w:rsidR="00AF1FCC" w:rsidRPr="00AF1FCC" w:rsidRDefault="00AF1FCC" w:rsidP="00AF1FCC">
      <w:pPr>
        <w:tabs>
          <w:tab w:val="left" w:pos="1170"/>
        </w:tabs>
        <w:rPr>
          <w:rFonts w:asciiTheme="majorHAnsi" w:hAnsiTheme="majorHAnsi"/>
        </w:rPr>
      </w:pPr>
      <w:r>
        <w:rPr>
          <w:rFonts w:asciiTheme="majorHAnsi" w:hAnsiTheme="majorHAnsi"/>
        </w:rPr>
        <w:tab/>
      </w:r>
      <w:r w:rsidRPr="00AF1FCC">
        <w:rPr>
          <w:rFonts w:asciiTheme="majorHAnsi" w:hAnsiTheme="majorHAnsi"/>
        </w:rPr>
        <w:t>(millions of 2015$)</w:t>
      </w:r>
    </w:p>
    <w:p w14:paraId="225C883C" w14:textId="77777777" w:rsidR="00AF1FCC" w:rsidRPr="00AF1FCC" w:rsidRDefault="00AF1FCC" w:rsidP="00AF1FCC"/>
    <w:p w14:paraId="52E33B10" w14:textId="77777777" w:rsidR="00F75299" w:rsidRDefault="00F75299" w:rsidP="00F75299">
      <w:pPr>
        <w:jc w:val="center"/>
        <w:rPr>
          <w:i/>
        </w:rPr>
      </w:pPr>
      <w:r w:rsidRPr="00AB2A8D">
        <w:rPr>
          <w:i/>
          <w:noProof/>
        </w:rPr>
        <w:drawing>
          <wp:inline distT="0" distB="0" distL="0" distR="0" wp14:anchorId="439FF2D9" wp14:editId="6A345675">
            <wp:extent cx="5943600" cy="2743200"/>
            <wp:effectExtent l="0" t="0" r="0" b="0"/>
            <wp:docPr id="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25DC9C6" w14:textId="77777777" w:rsidR="00BE7B0C" w:rsidRDefault="00BE7B0C" w:rsidP="00AC6296">
      <w:pPr>
        <w:spacing w:line="240" w:lineRule="auto"/>
        <w:rPr>
          <w:b/>
          <w:sz w:val="24"/>
        </w:rPr>
      </w:pPr>
    </w:p>
    <w:p w14:paraId="13129F87" w14:textId="77777777" w:rsidR="00841E8E" w:rsidRDefault="00841E8E" w:rsidP="00D3767E">
      <w:pPr>
        <w:spacing w:after="200"/>
        <w:rPr>
          <w:rFonts w:eastAsiaTheme="minorEastAsia"/>
        </w:rPr>
      </w:pPr>
    </w:p>
    <w:p w14:paraId="4C7EB56A" w14:textId="77777777" w:rsidR="00E71693" w:rsidRPr="00E71693" w:rsidRDefault="00E71693" w:rsidP="00E71693">
      <w:pPr>
        <w:spacing w:line="240" w:lineRule="auto"/>
        <w:rPr>
          <w:rFonts w:eastAsiaTheme="minorEastAsia"/>
          <w:b/>
        </w:rPr>
      </w:pPr>
      <w:r w:rsidRPr="00E71693">
        <w:rPr>
          <w:rFonts w:eastAsiaTheme="minorEastAsia"/>
          <w:b/>
        </w:rPr>
        <w:lastRenderedPageBreak/>
        <w:t>Real Disposable Personal Income</w:t>
      </w:r>
    </w:p>
    <w:p w14:paraId="34028644" w14:textId="77777777" w:rsidR="00D3767E" w:rsidRDefault="00D3767E" w:rsidP="00D3767E">
      <w:pPr>
        <w:spacing w:after="200"/>
        <w:rPr>
          <w:rFonts w:eastAsiaTheme="minorEastAsia"/>
        </w:rPr>
      </w:pPr>
      <w:r>
        <w:rPr>
          <w:rFonts w:eastAsiaTheme="minorEastAsia"/>
        </w:rPr>
        <w:t xml:space="preserve">Figure 4 </w:t>
      </w:r>
      <w:r w:rsidRPr="006C2772">
        <w:rPr>
          <w:rFonts w:eastAsiaTheme="minorEastAsia"/>
        </w:rPr>
        <w:t xml:space="preserve">shows the </w:t>
      </w:r>
      <w:r>
        <w:rPr>
          <w:rFonts w:eastAsiaTheme="minorEastAsia"/>
        </w:rPr>
        <w:t xml:space="preserve">impact to per capita </w:t>
      </w:r>
      <w:r w:rsidRPr="006C2772">
        <w:rPr>
          <w:rFonts w:eastAsiaTheme="minorEastAsia"/>
        </w:rPr>
        <w:t>real disposable personal income</w:t>
      </w:r>
      <w:r>
        <w:rPr>
          <w:rFonts w:eastAsiaTheme="minorEastAsia"/>
        </w:rPr>
        <w:t xml:space="preserve"> </w:t>
      </w:r>
      <w:r w:rsidRPr="006C2772">
        <w:rPr>
          <w:rFonts w:eastAsiaTheme="minorEastAsia"/>
        </w:rPr>
        <w:t>(RDPI). RDPI is the net of labor and capital income, minus taxes, and adjusted for a price index (including housing prices and electricity prices) to make real income. The impact on RDPI stays relatively constant despite a “pinch” in jobs towards the baseline. This implies reduced hours and wages for the average employee in the 10% and 25% increase</w:t>
      </w:r>
      <w:r w:rsidR="00E71693">
        <w:rPr>
          <w:rFonts w:eastAsiaTheme="minorEastAsia"/>
        </w:rPr>
        <w:t xml:space="preserve"> cases</w:t>
      </w:r>
      <w:r w:rsidRPr="006C2772">
        <w:rPr>
          <w:rFonts w:eastAsiaTheme="minorEastAsia"/>
        </w:rPr>
        <w:t>.</w:t>
      </w:r>
    </w:p>
    <w:p w14:paraId="5FE5A19D" w14:textId="77777777" w:rsidR="00462275" w:rsidRDefault="00B26CCC" w:rsidP="00D3767E">
      <w:pPr>
        <w:spacing w:after="200"/>
        <w:rPr>
          <w:rFonts w:eastAsiaTheme="minorEastAsia"/>
        </w:rPr>
      </w:pPr>
      <w:r>
        <w:rPr>
          <w:rFonts w:eastAsiaTheme="minorEastAsia"/>
        </w:rPr>
        <w:t xml:space="preserve">Over the 2020-2040 period, </w:t>
      </w:r>
      <w:r w:rsidR="00462275">
        <w:rPr>
          <w:rFonts w:eastAsiaTheme="minorEastAsia"/>
        </w:rPr>
        <w:t xml:space="preserve">the decline in average </w:t>
      </w:r>
      <w:r>
        <w:rPr>
          <w:rFonts w:eastAsiaTheme="minorEastAsia"/>
        </w:rPr>
        <w:t>per capita real disposable income in Co-op Nation and vicinity</w:t>
      </w:r>
      <w:r w:rsidR="00462275">
        <w:rPr>
          <w:rFonts w:eastAsiaTheme="minorEastAsia"/>
        </w:rPr>
        <w:t xml:space="preserve"> is $479 and $1028 annually in the 10% and 25% electricity price increase scenarios, respectively. In comparison, the rest of the U.S. incurs smaller annual average losses of $323 and $681, respectively. Overall, the decline in per capita real disposable income in Co-op Nation and vicinity is about 50% greater than in the rest of the U.S.</w:t>
      </w:r>
    </w:p>
    <w:p w14:paraId="0775E5BF" w14:textId="77777777" w:rsidR="00D3767E" w:rsidRPr="006C2772" w:rsidRDefault="00D3767E" w:rsidP="00D3767E">
      <w:pPr>
        <w:spacing w:after="200"/>
        <w:rPr>
          <w:rFonts w:eastAsiaTheme="minorEastAsia"/>
        </w:rPr>
      </w:pPr>
      <w:r w:rsidRPr="006C2772">
        <w:rPr>
          <w:rFonts w:eastAsiaTheme="minorEastAsia"/>
        </w:rPr>
        <w:t xml:space="preserve">The impact to </w:t>
      </w:r>
      <w:r w:rsidR="00F214FF">
        <w:rPr>
          <w:rFonts w:eastAsiaTheme="minorEastAsia"/>
        </w:rPr>
        <w:t xml:space="preserve">per capita </w:t>
      </w:r>
      <w:r w:rsidRPr="006C2772">
        <w:rPr>
          <w:rFonts w:eastAsiaTheme="minorEastAsia"/>
        </w:rPr>
        <w:t xml:space="preserve">RDPI, </w:t>
      </w:r>
      <w:r w:rsidR="00F214FF">
        <w:rPr>
          <w:rFonts w:eastAsiaTheme="minorEastAsia"/>
        </w:rPr>
        <w:t>compared to the GDP impacts shown in t</w:t>
      </w:r>
      <w:r w:rsidR="00B217E0">
        <w:rPr>
          <w:rFonts w:eastAsiaTheme="minorEastAsia"/>
        </w:rPr>
        <w:t>he top panel</w:t>
      </w:r>
      <w:r w:rsidR="00DE0BE8">
        <w:rPr>
          <w:rFonts w:eastAsiaTheme="minorEastAsia"/>
        </w:rPr>
        <w:t>s</w:t>
      </w:r>
      <w:r w:rsidR="00B217E0">
        <w:rPr>
          <w:rFonts w:eastAsiaTheme="minorEastAsia"/>
        </w:rPr>
        <w:t xml:space="preserve"> in </w:t>
      </w:r>
      <w:r w:rsidRPr="006C2772">
        <w:rPr>
          <w:rFonts w:eastAsiaTheme="minorEastAsia"/>
        </w:rPr>
        <w:t xml:space="preserve">Figure </w:t>
      </w:r>
      <w:r w:rsidR="00B217E0">
        <w:rPr>
          <w:rFonts w:eastAsiaTheme="minorEastAsia"/>
        </w:rPr>
        <w:t>3</w:t>
      </w:r>
      <w:r w:rsidRPr="006C2772">
        <w:rPr>
          <w:rFonts w:eastAsiaTheme="minorEastAsia"/>
        </w:rPr>
        <w:t>, produces close to the same influence overall. In the general REMI model, RDPI is around 70% of GDP (</w:t>
      </w:r>
      <w:r w:rsidR="00927533">
        <w:rPr>
          <w:rFonts w:eastAsiaTheme="minorEastAsia"/>
        </w:rPr>
        <w:t>i.e.,</w:t>
      </w:r>
      <w:r w:rsidRPr="006C2772">
        <w:rPr>
          <w:rFonts w:eastAsiaTheme="minorEastAsia"/>
        </w:rPr>
        <w:t xml:space="preserve"> household income is around 70% of the economy). The comparable result between RDPI and GDP here comes from the effect to real income to households from a higher price index and the “pass down” of higher production costs for businesses to consumer prices. </w:t>
      </w:r>
    </w:p>
    <w:p w14:paraId="50FB7E78" w14:textId="77777777" w:rsidR="00D3767E" w:rsidRDefault="00D3767E" w:rsidP="00D3767E">
      <w:pPr>
        <w:spacing w:line="240" w:lineRule="auto"/>
      </w:pPr>
      <w:r w:rsidRPr="00E22E1D">
        <w:t>The larger, more diverse economy of the urban United States</w:t>
      </w:r>
      <w:r>
        <w:t xml:space="preserve"> makes it less subject to disturbances</w:t>
      </w:r>
      <w:r w:rsidR="00B217E0">
        <w:t xml:space="preserve"> in electricity prices</w:t>
      </w:r>
      <w:r w:rsidRPr="00E22E1D">
        <w:t xml:space="preserve">. Hence, the per capita income </w:t>
      </w:r>
      <w:r w:rsidR="00927533">
        <w:t>impacts</w:t>
      </w:r>
      <w:r w:rsidRPr="00E22E1D">
        <w:t xml:space="preserve"> by year in the region are less than they are in </w:t>
      </w:r>
      <w:r w:rsidR="00B217E0">
        <w:t>Co-op Nation and vicinity</w:t>
      </w:r>
      <w:r w:rsidRPr="00E22E1D">
        <w:t>.</w:t>
      </w:r>
    </w:p>
    <w:p w14:paraId="5B2F9044" w14:textId="77777777" w:rsidR="00F36966" w:rsidRDefault="00F36966" w:rsidP="00AC6296">
      <w:pPr>
        <w:spacing w:line="240" w:lineRule="auto"/>
        <w:rPr>
          <w:b/>
        </w:rPr>
      </w:pPr>
    </w:p>
    <w:p w14:paraId="4ABE7644" w14:textId="77777777" w:rsidR="00F36966" w:rsidRDefault="00F36966" w:rsidP="00AC6296">
      <w:pPr>
        <w:spacing w:line="240" w:lineRule="auto"/>
        <w:rPr>
          <w:b/>
        </w:rPr>
      </w:pPr>
    </w:p>
    <w:p w14:paraId="07CBE852" w14:textId="77777777" w:rsidR="00697DFA" w:rsidRPr="008647AB" w:rsidRDefault="00BE7B0C" w:rsidP="00AC6296">
      <w:pPr>
        <w:spacing w:line="240" w:lineRule="auto"/>
        <w:rPr>
          <w:b/>
        </w:rPr>
      </w:pPr>
      <w:r w:rsidRPr="008647AB">
        <w:rPr>
          <w:b/>
        </w:rPr>
        <w:t>Figure 4</w:t>
      </w:r>
      <w:r w:rsidR="00D3111E" w:rsidRPr="008647AB">
        <w:rPr>
          <w:b/>
        </w:rPr>
        <w:t xml:space="preserve"> </w:t>
      </w:r>
      <w:r w:rsidR="00D3111E" w:rsidRPr="008647AB">
        <w:rPr>
          <w:b/>
        </w:rPr>
        <w:tab/>
        <w:t>Per Capita</w:t>
      </w:r>
      <w:r w:rsidRPr="008647AB">
        <w:rPr>
          <w:b/>
        </w:rPr>
        <w:t xml:space="preserve"> </w:t>
      </w:r>
      <w:r w:rsidR="00367896" w:rsidRPr="008647AB">
        <w:rPr>
          <w:b/>
        </w:rPr>
        <w:t xml:space="preserve">Real </w:t>
      </w:r>
      <w:r w:rsidRPr="008647AB">
        <w:rPr>
          <w:b/>
        </w:rPr>
        <w:t>Disposable Income</w:t>
      </w:r>
    </w:p>
    <w:p w14:paraId="349C4E8F" w14:textId="77777777" w:rsidR="00697DFA" w:rsidRDefault="00697DFA" w:rsidP="00AC6296">
      <w:pPr>
        <w:spacing w:line="240" w:lineRule="auto"/>
        <w:rPr>
          <w:b/>
        </w:rPr>
      </w:pPr>
    </w:p>
    <w:p w14:paraId="6B7E8356" w14:textId="77777777" w:rsidR="00697DFA" w:rsidRDefault="00565F0E" w:rsidP="00AC6296">
      <w:pPr>
        <w:spacing w:line="240" w:lineRule="auto"/>
        <w:rPr>
          <w:b/>
        </w:rPr>
      </w:pPr>
      <w:r w:rsidRPr="00565F0E">
        <w:rPr>
          <w:b/>
          <w:noProof/>
        </w:rPr>
        <mc:AlternateContent>
          <mc:Choice Requires="wps">
            <w:drawing>
              <wp:anchor distT="0" distB="0" distL="114300" distR="114300" simplePos="0" relativeHeight="251667456" behindDoc="0" locked="0" layoutInCell="1" allowOverlap="1" wp14:anchorId="74E5A85B" wp14:editId="2978B3CE">
                <wp:simplePos x="0" y="0"/>
                <wp:positionH relativeFrom="column">
                  <wp:posOffset>3785870</wp:posOffset>
                </wp:positionH>
                <wp:positionV relativeFrom="paragraph">
                  <wp:posOffset>1609042</wp:posOffset>
                </wp:positionV>
                <wp:extent cx="1647190" cy="4927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492760"/>
                        </a:xfrm>
                        <a:prstGeom prst="rect">
                          <a:avLst/>
                        </a:prstGeom>
                        <a:noFill/>
                        <a:ln w="9525">
                          <a:noFill/>
                          <a:miter lim="800000"/>
                          <a:headEnd/>
                          <a:tailEnd/>
                        </a:ln>
                      </wps:spPr>
                      <wps:txbx>
                        <w:txbxContent>
                          <w:p w14:paraId="423E5233" w14:textId="77777777" w:rsidR="002E3219" w:rsidRDefault="002E3219">
                            <w:r>
                              <w:t>10% kWh price increase</w:t>
                            </w:r>
                          </w:p>
                          <w:p w14:paraId="6BE45687" w14:textId="77777777" w:rsidR="002E3219" w:rsidRDefault="002E3219">
                            <w:r>
                              <w:t>25% kWh price increase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xmlns:w15="http://schemas.microsoft.com/office/word/2012/wordml">
            <w:pict>
              <v:shape id="_x0000_s1030" type="#_x0000_t202" style="position:absolute;margin-left:298.1pt;margin-top:126.7pt;width:129.7pt;height:38.8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" filled="f" stroked="f">
                <v:textbox style="mso-fit-shape-to-text:t">
                  <w:txbxContent>
                    <w:p w:rsidR="002E3219" w:rsidRDefault="002E3219">
                      <w:r>
                        <w:t>10% kWh price increase</w:t>
                      </w:r>
                    </w:p>
                    <w:p w:rsidR="002E3219" w:rsidRDefault="002E3219">
                      <w:r>
                        <w:t>25% kWh price increase</w:t>
                      </w:r>
                    </w:p>
                  </w:txbxContent>
                </v:textbox>
              </v:shape>
            </w:pict>
          </mc:Fallback>
        </mc:AlternateContent>
      </w:r>
      <w:r w:rsidR="00BE7B0C">
        <w:rPr>
          <w:noProof/>
        </w:rPr>
        <w:drawing>
          <wp:inline distT="0" distB="0" distL="0" distR="0" wp14:anchorId="1696AC59" wp14:editId="2D5E82E3">
            <wp:extent cx="2993366" cy="2605177"/>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A01CFF">
        <w:rPr>
          <w:noProof/>
        </w:rPr>
        <w:drawing>
          <wp:inline distT="0" distB="0" distL="0" distR="0" wp14:anchorId="1DD00CEB" wp14:editId="518C4DAA">
            <wp:extent cx="2855343" cy="2493034"/>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F816DB4" w14:textId="77777777" w:rsidR="00697DFA" w:rsidRDefault="00697DFA" w:rsidP="00AC6296">
      <w:pPr>
        <w:spacing w:line="240" w:lineRule="auto"/>
        <w:rPr>
          <w:b/>
        </w:rPr>
      </w:pPr>
    </w:p>
    <w:p w14:paraId="535A8F25" w14:textId="77777777" w:rsidR="00F36966" w:rsidRPr="00F36966" w:rsidRDefault="00F36966" w:rsidP="00911DEF">
      <w:pPr>
        <w:rPr>
          <w:b/>
        </w:rPr>
      </w:pPr>
      <w:r w:rsidRPr="00F36966">
        <w:rPr>
          <w:b/>
        </w:rPr>
        <w:t>Population</w:t>
      </w:r>
    </w:p>
    <w:p w14:paraId="543268EA" w14:textId="77777777" w:rsidR="00911DEF" w:rsidRDefault="00911DEF" w:rsidP="00911DEF">
      <w:r w:rsidRPr="00911DEF">
        <w:t xml:space="preserve">Unlike the economy, demographics </w:t>
      </w:r>
      <w:r w:rsidR="00F214FF">
        <w:t>are</w:t>
      </w:r>
      <w:r w:rsidRPr="00911DEF">
        <w:t xml:space="preserve"> a “zero-sum” game in the PI</w:t>
      </w:r>
      <w:r w:rsidRPr="00911DEF">
        <w:rPr>
          <w:vertAlign w:val="superscript"/>
        </w:rPr>
        <w:t>+</w:t>
      </w:r>
      <w:r w:rsidRPr="00911DEF">
        <w:t xml:space="preserve"> model. The better or stronger national economy might change international migration patterns; however, within the United States, households have only the fifty states (or two regions here) presented to them. </w:t>
      </w:r>
      <w:r w:rsidR="00367896" w:rsidRPr="00911DEF">
        <w:t>The PI</w:t>
      </w:r>
      <w:r w:rsidR="00367896" w:rsidRPr="00911DEF">
        <w:rPr>
          <w:vertAlign w:val="superscript"/>
        </w:rPr>
        <w:t>+</w:t>
      </w:r>
      <w:r w:rsidR="00367896" w:rsidRPr="00911DEF">
        <w:t xml:space="preserve"> model adjusts </w:t>
      </w:r>
      <w:r w:rsidR="00367896" w:rsidRPr="00911DEF">
        <w:lastRenderedPageBreak/>
        <w:t>long-term household locations based on the quality of the labor market, the cost of living, and other factors. The change in the cost of living is not different between the regions here</w:t>
      </w:r>
      <w:r w:rsidR="00F214FF">
        <w:t>. H</w:t>
      </w:r>
      <w:r w:rsidR="00367896" w:rsidRPr="00911DEF">
        <w:t>owever, the relative</w:t>
      </w:r>
      <w:r w:rsidR="00927533">
        <w:t>ly higher</w:t>
      </w:r>
      <w:r w:rsidR="00367896" w:rsidRPr="00911DEF">
        <w:t xml:space="preserve"> level of job availability in the United States outside Co-op Nation induces households to be more likely to choose urban American instead of more rural locations.</w:t>
      </w:r>
      <w:r w:rsidR="00367896">
        <w:t xml:space="preserve">  As a result, t</w:t>
      </w:r>
      <w:r w:rsidRPr="00911DEF">
        <w:t xml:space="preserve">he rest of the United States tends to do “better” or “less bad” </w:t>
      </w:r>
      <w:r w:rsidR="00367896">
        <w:t>in the 10% and 25% electricity price change cases</w:t>
      </w:r>
      <w:r w:rsidR="00927533">
        <w:t xml:space="preserve"> and they gain population at the expense of more rural areas</w:t>
      </w:r>
      <w:r w:rsidR="00367896">
        <w:t xml:space="preserve">. </w:t>
      </w:r>
    </w:p>
    <w:p w14:paraId="2CEFB71F" w14:textId="77777777" w:rsidR="00911DEF" w:rsidRDefault="00911DEF" w:rsidP="00911DEF"/>
    <w:p w14:paraId="0350D923" w14:textId="77777777" w:rsidR="000E13E4" w:rsidRPr="008647AB" w:rsidRDefault="000E13E4" w:rsidP="00AC6296">
      <w:pPr>
        <w:spacing w:line="240" w:lineRule="auto"/>
        <w:rPr>
          <w:b/>
        </w:rPr>
      </w:pPr>
      <w:r w:rsidRPr="008647AB">
        <w:rPr>
          <w:b/>
        </w:rPr>
        <w:t>Figure 5</w:t>
      </w:r>
      <w:r w:rsidRPr="008647AB">
        <w:rPr>
          <w:b/>
        </w:rPr>
        <w:tab/>
        <w:t>Population Migration</w:t>
      </w:r>
    </w:p>
    <w:p w14:paraId="4FA6C205" w14:textId="77777777" w:rsidR="000E13E4" w:rsidRDefault="000E13E4" w:rsidP="00AC6296">
      <w:pPr>
        <w:spacing w:line="240" w:lineRule="auto"/>
        <w:rPr>
          <w:b/>
        </w:rPr>
      </w:pPr>
    </w:p>
    <w:p w14:paraId="4B6E1D66" w14:textId="77777777" w:rsidR="00697DFA" w:rsidRDefault="00F010C6" w:rsidP="00AC6296">
      <w:pPr>
        <w:spacing w:line="240" w:lineRule="auto"/>
        <w:rPr>
          <w:b/>
        </w:rPr>
      </w:pPr>
      <w:r w:rsidRPr="00F010C6">
        <w:rPr>
          <w:b/>
          <w:noProof/>
        </w:rPr>
        <mc:AlternateContent>
          <mc:Choice Requires="wps">
            <w:drawing>
              <wp:anchor distT="0" distB="0" distL="114300" distR="114300" simplePos="0" relativeHeight="251669504" behindDoc="0" locked="0" layoutInCell="1" allowOverlap="1" wp14:anchorId="0E8C58BD" wp14:editId="3935064E">
                <wp:simplePos x="0" y="0"/>
                <wp:positionH relativeFrom="column">
                  <wp:posOffset>3799840</wp:posOffset>
                </wp:positionH>
                <wp:positionV relativeFrom="paragraph">
                  <wp:posOffset>1491244</wp:posOffset>
                </wp:positionV>
                <wp:extent cx="1673225" cy="492760"/>
                <wp:effectExtent l="0" t="0" r="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492760"/>
                        </a:xfrm>
                        <a:prstGeom prst="rect">
                          <a:avLst/>
                        </a:prstGeom>
                        <a:noFill/>
                        <a:ln w="9525">
                          <a:noFill/>
                          <a:miter lim="800000"/>
                          <a:headEnd/>
                          <a:tailEnd/>
                        </a:ln>
                      </wps:spPr>
                      <wps:txbx>
                        <w:txbxContent>
                          <w:p w14:paraId="539CF217" w14:textId="77777777" w:rsidR="002E3219" w:rsidRDefault="002E3219">
                            <w:r>
                              <w:t>10% kWh price increase</w:t>
                            </w:r>
                          </w:p>
                          <w:p w14:paraId="47002BA1" w14:textId="77777777" w:rsidR="002E3219" w:rsidRDefault="002E3219">
                            <w:r>
                              <w:t>25% kWh price increase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xmlns:w15="http://schemas.microsoft.com/office/word/2012/wordml">
            <w:pict>
              <v:shape id="_x0000_s1031" type="#_x0000_t202" style="position:absolute;margin-left:299.2pt;margin-top:117.4pt;width:131.75pt;height:38.8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" filled="f" stroked="f">
                <v:textbox style="mso-fit-shape-to-text:t">
                  <w:txbxContent>
                    <w:p w:rsidR="002E3219" w:rsidRDefault="002E3219">
                      <w:r>
                        <w:t>10% kWh price increase</w:t>
                      </w:r>
                    </w:p>
                    <w:p w:rsidR="002E3219" w:rsidRDefault="002E3219">
                      <w:r>
                        <w:t>25% kWh price increase</w:t>
                      </w:r>
                    </w:p>
                  </w:txbxContent>
                </v:textbox>
              </v:shape>
            </w:pict>
          </mc:Fallback>
        </mc:AlternateContent>
      </w:r>
      <w:r w:rsidR="006C2772">
        <w:rPr>
          <w:noProof/>
        </w:rPr>
        <w:drawing>
          <wp:inline distT="0" distB="0" distL="0" distR="0" wp14:anchorId="423FA84A" wp14:editId="1F280370">
            <wp:extent cx="2924355" cy="2907102"/>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6C2772">
        <w:rPr>
          <w:noProof/>
        </w:rPr>
        <w:drawing>
          <wp:inline distT="0" distB="0" distL="0" distR="0" wp14:anchorId="5D18B062" wp14:editId="1733917F">
            <wp:extent cx="2544792" cy="2907102"/>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A6AABE4" w14:textId="77777777" w:rsidR="00697DFA" w:rsidRDefault="00697DFA" w:rsidP="00AC6296">
      <w:pPr>
        <w:spacing w:line="240" w:lineRule="auto"/>
        <w:rPr>
          <w:b/>
        </w:rPr>
      </w:pPr>
    </w:p>
    <w:p w14:paraId="495141DD" w14:textId="77777777" w:rsidR="00697DFA" w:rsidRDefault="00697DFA" w:rsidP="00AC6296">
      <w:pPr>
        <w:spacing w:line="240" w:lineRule="auto"/>
        <w:rPr>
          <w:b/>
        </w:rPr>
      </w:pPr>
    </w:p>
    <w:p w14:paraId="4D5894AD" w14:textId="77777777" w:rsidR="00697DFA" w:rsidRDefault="00697DFA" w:rsidP="00AC6296">
      <w:pPr>
        <w:spacing w:line="240" w:lineRule="auto"/>
        <w:rPr>
          <w:b/>
        </w:rPr>
      </w:pPr>
    </w:p>
    <w:p w14:paraId="5A4C7F12" w14:textId="77777777" w:rsidR="00697DFA" w:rsidRDefault="00697DFA" w:rsidP="00AC6296">
      <w:pPr>
        <w:spacing w:line="240" w:lineRule="auto"/>
        <w:rPr>
          <w:b/>
        </w:rPr>
      </w:pPr>
    </w:p>
    <w:p w14:paraId="43B3C7A8" w14:textId="77777777" w:rsidR="00697DFA" w:rsidRDefault="00697DFA" w:rsidP="00AC6296">
      <w:pPr>
        <w:spacing w:line="240" w:lineRule="auto"/>
        <w:rPr>
          <w:b/>
        </w:rPr>
      </w:pPr>
    </w:p>
    <w:p w14:paraId="62FF4402" w14:textId="77777777" w:rsidR="00697DFA" w:rsidRDefault="00697DFA" w:rsidP="00AC6296">
      <w:pPr>
        <w:spacing w:line="240" w:lineRule="auto"/>
        <w:rPr>
          <w:b/>
        </w:rPr>
      </w:pPr>
    </w:p>
    <w:p w14:paraId="75E0E19B" w14:textId="77777777" w:rsidR="00697DFA" w:rsidRDefault="00697DFA" w:rsidP="00AC6296">
      <w:pPr>
        <w:spacing w:line="240" w:lineRule="auto"/>
        <w:rPr>
          <w:b/>
        </w:rPr>
      </w:pPr>
    </w:p>
    <w:p w14:paraId="4F3BF231" w14:textId="77777777" w:rsidR="00697DFA" w:rsidRDefault="00697DFA" w:rsidP="00AC6296">
      <w:pPr>
        <w:spacing w:line="240" w:lineRule="auto"/>
        <w:rPr>
          <w:b/>
        </w:rPr>
      </w:pPr>
    </w:p>
    <w:p w14:paraId="49C71772" w14:textId="77777777" w:rsidR="00697DFA" w:rsidRDefault="00697DFA" w:rsidP="00AC6296">
      <w:pPr>
        <w:spacing w:line="240" w:lineRule="auto"/>
        <w:rPr>
          <w:b/>
        </w:rPr>
      </w:pPr>
    </w:p>
    <w:p w14:paraId="75DB3B7D" w14:textId="77777777" w:rsidR="00697DFA" w:rsidRDefault="00697DFA" w:rsidP="00AC6296">
      <w:pPr>
        <w:spacing w:line="240" w:lineRule="auto"/>
        <w:rPr>
          <w:b/>
        </w:rPr>
      </w:pPr>
    </w:p>
    <w:p w14:paraId="76862AC2" w14:textId="77777777" w:rsidR="00697DFA" w:rsidRDefault="00697DFA" w:rsidP="00AC6296">
      <w:pPr>
        <w:spacing w:line="240" w:lineRule="auto"/>
        <w:rPr>
          <w:b/>
        </w:rPr>
      </w:pPr>
    </w:p>
    <w:p w14:paraId="14235A87" w14:textId="77777777" w:rsidR="00697DFA" w:rsidRDefault="00697DFA" w:rsidP="00AC6296">
      <w:pPr>
        <w:spacing w:line="240" w:lineRule="auto"/>
        <w:rPr>
          <w:b/>
        </w:rPr>
      </w:pPr>
    </w:p>
    <w:p w14:paraId="2B549EDF" w14:textId="77777777" w:rsidR="00697DFA" w:rsidRDefault="00697DFA" w:rsidP="00AC6296">
      <w:pPr>
        <w:spacing w:line="240" w:lineRule="auto"/>
        <w:rPr>
          <w:b/>
        </w:rPr>
      </w:pPr>
    </w:p>
    <w:p w14:paraId="685FA2D5" w14:textId="77777777" w:rsidR="00697DFA" w:rsidRDefault="00697DFA" w:rsidP="00AC6296">
      <w:pPr>
        <w:spacing w:line="240" w:lineRule="auto"/>
        <w:rPr>
          <w:b/>
        </w:rPr>
      </w:pPr>
    </w:p>
    <w:p w14:paraId="37F6ACB5" w14:textId="77777777" w:rsidR="00697DFA" w:rsidRDefault="00697DFA" w:rsidP="00AC6296">
      <w:pPr>
        <w:spacing w:line="240" w:lineRule="auto"/>
        <w:rPr>
          <w:b/>
        </w:rPr>
      </w:pPr>
    </w:p>
    <w:p w14:paraId="0D4C61BE" w14:textId="77777777" w:rsidR="00697DFA" w:rsidRDefault="00697DFA" w:rsidP="00AC6296">
      <w:pPr>
        <w:spacing w:line="240" w:lineRule="auto"/>
        <w:rPr>
          <w:b/>
        </w:rPr>
      </w:pPr>
    </w:p>
    <w:p w14:paraId="464E5C29" w14:textId="77777777" w:rsidR="00697DFA" w:rsidRDefault="00697DFA" w:rsidP="00AC6296">
      <w:pPr>
        <w:spacing w:line="240" w:lineRule="auto"/>
        <w:rPr>
          <w:b/>
        </w:rPr>
      </w:pPr>
    </w:p>
    <w:p w14:paraId="47327C31" w14:textId="77777777" w:rsidR="00697DFA" w:rsidRDefault="00697DFA" w:rsidP="00AC6296">
      <w:pPr>
        <w:spacing w:line="240" w:lineRule="auto"/>
        <w:rPr>
          <w:b/>
        </w:rPr>
      </w:pPr>
    </w:p>
    <w:p w14:paraId="76D341D5" w14:textId="77777777" w:rsidR="00697DFA" w:rsidRDefault="00697DFA" w:rsidP="00AC6296">
      <w:pPr>
        <w:spacing w:line="240" w:lineRule="auto"/>
        <w:rPr>
          <w:b/>
        </w:rPr>
      </w:pPr>
    </w:p>
    <w:p w14:paraId="21918703" w14:textId="77777777" w:rsidR="00697DFA" w:rsidRDefault="00697DFA" w:rsidP="00AC6296">
      <w:pPr>
        <w:spacing w:line="240" w:lineRule="auto"/>
        <w:rPr>
          <w:b/>
        </w:rPr>
      </w:pPr>
    </w:p>
    <w:p w14:paraId="66F530AA" w14:textId="77777777" w:rsidR="00697DFA" w:rsidRDefault="00697DFA" w:rsidP="00AC6296">
      <w:pPr>
        <w:spacing w:line="240" w:lineRule="auto"/>
        <w:rPr>
          <w:b/>
        </w:rPr>
      </w:pPr>
    </w:p>
    <w:p w14:paraId="6758DAE6" w14:textId="77777777" w:rsidR="00AC6296" w:rsidRDefault="00AC6296" w:rsidP="00AC6296">
      <w:pPr>
        <w:spacing w:line="240" w:lineRule="auto"/>
        <w:rPr>
          <w:b/>
        </w:rPr>
      </w:pPr>
      <w:r>
        <w:rPr>
          <w:b/>
        </w:rPr>
        <w:lastRenderedPageBreak/>
        <w:t>Appendix 1</w:t>
      </w:r>
    </w:p>
    <w:p w14:paraId="56D28E08" w14:textId="77777777" w:rsidR="00663775" w:rsidRPr="00663775" w:rsidRDefault="00626448" w:rsidP="00663775">
      <w:pPr>
        <w:rPr>
          <w:rFonts w:eastAsiaTheme="minorEastAsia"/>
        </w:rPr>
      </w:pPr>
      <w:r>
        <w:t xml:space="preserve">The </w:t>
      </w:r>
      <w:r w:rsidR="00AC6296" w:rsidRPr="00AC6296">
        <w:t xml:space="preserve">flowchart </w:t>
      </w:r>
      <w:r w:rsidR="00AC6296">
        <w:t xml:space="preserve">below </w:t>
      </w:r>
      <w:r w:rsidR="00AC6296" w:rsidRPr="00AC6296">
        <w:t>describes the process of the ZIP adjustments in the results for a given industry. The top row shows the breakout of counties into co-op and non-co-op regions. While the counties provide strong geographic granularity and match up with federal economic and demographic data, they do not precisely follow the service territories of the electrical grid. The second row separates the county-level results for an industry, based on the share of employment by sector in zip codes served by electric co-ops. The third row adjusts the results by adding the co-op portion</w:t>
      </w:r>
      <w:r w:rsidR="00921A7E">
        <w:t xml:space="preserve"> of output</w:t>
      </w:r>
      <w:r w:rsidR="00AC6296" w:rsidRPr="00AC6296">
        <w:t xml:space="preserve"> from non-co-op counties to the co-op results, and removing the portion</w:t>
      </w:r>
      <w:r w:rsidR="00921A7E">
        <w:t xml:space="preserve"> of output</w:t>
      </w:r>
      <w:r w:rsidR="00AC6296" w:rsidRPr="00AC6296">
        <w:t xml:space="preserve"> in co-op counties that is not attributable to co-ops and moving it to the results for the rest. In the figure, this is represented by swapping the “false positive” data in green with the “false negative” data in brown. This process allows for a more granular calculation of the industry-level results, by reallocating these ZIP code-level portions to the correct category.</w:t>
      </w:r>
      <w:r w:rsidR="00663775">
        <w:t xml:space="preserve">  This adjustment </w:t>
      </w:r>
      <w:r w:rsidR="00F214FF">
        <w:t xml:space="preserve">is </w:t>
      </w:r>
      <w:r w:rsidR="00663775">
        <w:t xml:space="preserve">used to compute employment and GDP (business activity) impacts only. Because </w:t>
      </w:r>
      <w:r w:rsidR="00663775" w:rsidRPr="00663775">
        <w:rPr>
          <w:rFonts w:eastAsiaTheme="minorEastAsia"/>
        </w:rPr>
        <w:t xml:space="preserve">government data counts personal income at the place of residence and </w:t>
      </w:r>
      <w:r w:rsidR="00663775">
        <w:rPr>
          <w:rFonts w:eastAsiaTheme="minorEastAsia"/>
        </w:rPr>
        <w:t>not at the place of employment</w:t>
      </w:r>
      <w:r w:rsidR="00F214FF">
        <w:rPr>
          <w:rFonts w:eastAsiaTheme="minorEastAsia"/>
        </w:rPr>
        <w:t>,</w:t>
      </w:r>
      <w:r w:rsidR="00663775">
        <w:rPr>
          <w:rFonts w:eastAsiaTheme="minorEastAsia"/>
        </w:rPr>
        <w:t xml:space="preserve"> and g</w:t>
      </w:r>
      <w:r w:rsidR="00663775" w:rsidRPr="00663775">
        <w:rPr>
          <w:rFonts w:eastAsiaTheme="minorEastAsia"/>
        </w:rPr>
        <w:t>iven there is so much commuting between rural and urban are</w:t>
      </w:r>
      <w:r w:rsidR="00663775">
        <w:rPr>
          <w:rFonts w:eastAsiaTheme="minorEastAsia"/>
        </w:rPr>
        <w:t xml:space="preserve">as in the United States, the per capita income </w:t>
      </w:r>
      <w:r w:rsidR="00663775" w:rsidRPr="00663775">
        <w:rPr>
          <w:rFonts w:eastAsiaTheme="minorEastAsia"/>
        </w:rPr>
        <w:t>results are</w:t>
      </w:r>
      <w:r w:rsidR="00663775">
        <w:rPr>
          <w:rFonts w:eastAsiaTheme="minorEastAsia"/>
        </w:rPr>
        <w:t xml:space="preserve"> reported</w:t>
      </w:r>
      <w:r w:rsidR="00663775" w:rsidRPr="00663775">
        <w:rPr>
          <w:rFonts w:eastAsiaTheme="minorEastAsia"/>
        </w:rPr>
        <w:t xml:space="preserve"> at the county-level.</w:t>
      </w:r>
    </w:p>
    <w:p w14:paraId="669FB8FF" w14:textId="77777777" w:rsidR="00AC6296" w:rsidRDefault="00AC6296" w:rsidP="00AC6296">
      <w:pPr>
        <w:spacing w:after="200"/>
      </w:pPr>
    </w:p>
    <w:p w14:paraId="188904A7" w14:textId="77777777" w:rsidR="00AC6296" w:rsidRPr="00AC6296" w:rsidRDefault="00AC6296" w:rsidP="00AC6296">
      <w:pPr>
        <w:spacing w:after="200"/>
        <w:rPr>
          <w:b/>
        </w:rPr>
      </w:pPr>
    </w:p>
    <w:p w14:paraId="5B84315D" w14:textId="77777777" w:rsidR="00CD1B3B" w:rsidRDefault="00AC6296" w:rsidP="00AC6296">
      <w:pPr>
        <w:spacing w:after="200"/>
        <w:jc w:val="center"/>
      </w:pPr>
      <w:r>
        <w:rPr>
          <w:i/>
          <w:noProof/>
        </w:rPr>
        <w:drawing>
          <wp:inline distT="0" distB="0" distL="0" distR="0" wp14:anchorId="30616C36" wp14:editId="24811A80">
            <wp:extent cx="4846320" cy="3913465"/>
            <wp:effectExtent l="19050" t="0" r="0" b="0"/>
            <wp:docPr id="38" name="Picture 37" descr="ZIP adjus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P adjustment.PNG"/>
                    <pic:cNvPicPr/>
                  </pic:nvPicPr>
                  <pic:blipFill>
                    <a:blip r:embed="rId32" cstate="print"/>
                    <a:stretch>
                      <a:fillRect/>
                    </a:stretch>
                  </pic:blipFill>
                  <pic:spPr>
                    <a:xfrm>
                      <a:off x="0" y="0"/>
                      <a:ext cx="4846320" cy="3913465"/>
                    </a:xfrm>
                    <a:prstGeom prst="rect">
                      <a:avLst/>
                    </a:prstGeom>
                  </pic:spPr>
                </pic:pic>
              </a:graphicData>
            </a:graphic>
          </wp:inline>
        </w:drawing>
      </w:r>
    </w:p>
    <w:p w14:paraId="7966AD8D" w14:textId="77777777" w:rsidR="00AC6296" w:rsidRDefault="00AC6296">
      <w:pPr>
        <w:spacing w:after="200"/>
      </w:pPr>
    </w:p>
    <w:p w14:paraId="731CE238" w14:textId="77777777" w:rsidR="00F75620" w:rsidRDefault="00F75620" w:rsidP="00F36966">
      <w:pPr>
        <w:spacing w:line="240" w:lineRule="auto"/>
        <w:rPr>
          <w:b/>
        </w:rPr>
      </w:pPr>
    </w:p>
    <w:p w14:paraId="361F830B" w14:textId="77777777" w:rsidR="005A78FB" w:rsidRPr="00F36966" w:rsidRDefault="00712729" w:rsidP="00F36966">
      <w:pPr>
        <w:spacing w:line="240" w:lineRule="auto"/>
        <w:rPr>
          <w:b/>
        </w:rPr>
      </w:pPr>
      <w:r w:rsidRPr="00F36966">
        <w:rPr>
          <w:b/>
        </w:rPr>
        <w:lastRenderedPageBreak/>
        <w:t>Appendix</w:t>
      </w:r>
      <w:r w:rsidR="00F36966" w:rsidRPr="00F36966">
        <w:rPr>
          <w:b/>
        </w:rPr>
        <w:t xml:space="preserve"> 2</w:t>
      </w:r>
    </w:p>
    <w:p w14:paraId="71F30AD8" w14:textId="77777777" w:rsidR="00712729" w:rsidRPr="00F36966" w:rsidRDefault="00712729" w:rsidP="00F36966">
      <w:pPr>
        <w:pStyle w:val="Heading2"/>
        <w:spacing w:before="0" w:line="240" w:lineRule="auto"/>
        <w:rPr>
          <w:color w:val="auto"/>
        </w:rPr>
      </w:pPr>
      <w:r w:rsidRPr="00F36966">
        <w:rPr>
          <w:color w:val="auto"/>
        </w:rPr>
        <w:t>Preexisting Industry Mixture by Region (2012)</w:t>
      </w:r>
    </w:p>
    <w:p w14:paraId="13F3F61C" w14:textId="77777777" w:rsidR="00712729" w:rsidRDefault="00712729"/>
    <w:tbl>
      <w:tblPr>
        <w:tblStyle w:val="MediumShading1-Accent4"/>
        <w:tblW w:w="5000" w:type="pct"/>
        <w:tblLook w:val="04A0" w:firstRow="1" w:lastRow="0" w:firstColumn="1" w:lastColumn="0" w:noHBand="0" w:noVBand="1"/>
      </w:tblPr>
      <w:tblGrid>
        <w:gridCol w:w="4238"/>
        <w:gridCol w:w="1086"/>
        <w:gridCol w:w="1060"/>
        <w:gridCol w:w="1596"/>
        <w:gridCol w:w="1596"/>
      </w:tblGrid>
      <w:tr w:rsidR="00712729" w14:paraId="0EED8915" w14:textId="77777777" w:rsidTr="005D5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11354A8B" w14:textId="77777777" w:rsidR="00712729" w:rsidRPr="00BB7D20" w:rsidRDefault="00712729" w:rsidP="005D5AC4">
            <w:pPr>
              <w:rPr>
                <w:rFonts w:ascii="Calibri" w:hAnsi="Calibri"/>
                <w:sz w:val="18"/>
                <w:szCs w:val="18"/>
              </w:rPr>
            </w:pPr>
            <w:r w:rsidRPr="00BB7D20">
              <w:rPr>
                <w:rFonts w:ascii="Calibri" w:hAnsi="Calibri"/>
                <w:sz w:val="18"/>
                <w:szCs w:val="18"/>
              </w:rPr>
              <w:t>NAICS</w:t>
            </w:r>
          </w:p>
        </w:tc>
        <w:tc>
          <w:tcPr>
            <w:tcW w:w="556" w:type="pct"/>
            <w:vAlign w:val="center"/>
          </w:tcPr>
          <w:p w14:paraId="44797D14" w14:textId="77777777" w:rsidR="00712729" w:rsidRPr="00BB7D20" w:rsidRDefault="00712729" w:rsidP="005D5AC4">
            <w:pPr>
              <w:jc w:val="right"/>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BB7D20">
              <w:rPr>
                <w:rFonts w:ascii="Calibri" w:hAnsi="Calibri"/>
                <w:sz w:val="18"/>
                <w:szCs w:val="18"/>
              </w:rPr>
              <w:t>Co-op Jobs</w:t>
            </w:r>
          </w:p>
        </w:tc>
        <w:tc>
          <w:tcPr>
            <w:tcW w:w="556" w:type="pct"/>
            <w:vAlign w:val="center"/>
          </w:tcPr>
          <w:p w14:paraId="03C04628" w14:textId="77777777" w:rsidR="00712729" w:rsidRPr="00BB7D20" w:rsidRDefault="00712729" w:rsidP="005D5AC4">
            <w:pPr>
              <w:jc w:val="right"/>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BB7D20">
              <w:rPr>
                <w:rFonts w:ascii="Calibri" w:hAnsi="Calibri"/>
                <w:sz w:val="18"/>
                <w:szCs w:val="18"/>
              </w:rPr>
              <w:t>Co-op GDP</w:t>
            </w:r>
          </w:p>
        </w:tc>
        <w:tc>
          <w:tcPr>
            <w:tcW w:w="836" w:type="pct"/>
            <w:vAlign w:val="center"/>
          </w:tcPr>
          <w:p w14:paraId="02501080" w14:textId="77777777" w:rsidR="00712729" w:rsidRPr="00BB7D20" w:rsidRDefault="00712729" w:rsidP="005D5AC4">
            <w:pPr>
              <w:jc w:val="right"/>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BB7D20">
              <w:rPr>
                <w:rFonts w:ascii="Calibri" w:hAnsi="Calibri"/>
                <w:sz w:val="18"/>
                <w:szCs w:val="18"/>
              </w:rPr>
              <w:t>Rest of USA Jobs</w:t>
            </w:r>
          </w:p>
        </w:tc>
        <w:tc>
          <w:tcPr>
            <w:tcW w:w="836" w:type="pct"/>
            <w:vAlign w:val="center"/>
          </w:tcPr>
          <w:p w14:paraId="5495B92B" w14:textId="77777777" w:rsidR="00712729" w:rsidRPr="00BB7D20" w:rsidRDefault="00712729" w:rsidP="005D5AC4">
            <w:pPr>
              <w:jc w:val="right"/>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BB7D20">
              <w:rPr>
                <w:rFonts w:ascii="Calibri" w:hAnsi="Calibri"/>
                <w:sz w:val="18"/>
                <w:szCs w:val="18"/>
              </w:rPr>
              <w:t>Rest of USA GDP</w:t>
            </w:r>
          </w:p>
        </w:tc>
      </w:tr>
      <w:tr w:rsidR="00AF1FCC" w14:paraId="7BA701CE"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49B0A8AB" w14:textId="77777777" w:rsidR="00AF1FCC" w:rsidRPr="00BB7D20" w:rsidRDefault="00AF1FCC" w:rsidP="005D5AC4">
            <w:pPr>
              <w:rPr>
                <w:rFonts w:ascii="Calibri" w:hAnsi="Calibri"/>
                <w:sz w:val="18"/>
                <w:szCs w:val="18"/>
              </w:rPr>
            </w:pPr>
          </w:p>
        </w:tc>
        <w:tc>
          <w:tcPr>
            <w:tcW w:w="556" w:type="pct"/>
            <w:vAlign w:val="center"/>
          </w:tcPr>
          <w:p w14:paraId="19439140" w14:textId="77777777" w:rsidR="00AF1FCC" w:rsidRPr="00BB7D20" w:rsidRDefault="00AF1FCC"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(thousands)</w:t>
            </w:r>
          </w:p>
        </w:tc>
        <w:tc>
          <w:tcPr>
            <w:tcW w:w="556" w:type="pct"/>
            <w:vAlign w:val="center"/>
          </w:tcPr>
          <w:p w14:paraId="5027F1A8" w14:textId="77777777" w:rsidR="00AF1FCC" w:rsidRPr="00BB7D20" w:rsidRDefault="00AF1FCC"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(millions)</w:t>
            </w:r>
          </w:p>
        </w:tc>
        <w:tc>
          <w:tcPr>
            <w:tcW w:w="836" w:type="pct"/>
            <w:vAlign w:val="center"/>
          </w:tcPr>
          <w:p w14:paraId="276E96B8" w14:textId="77777777" w:rsidR="00AF1FCC" w:rsidRPr="00BB7D20" w:rsidRDefault="00AF1FCC"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(thousands)</w:t>
            </w:r>
          </w:p>
        </w:tc>
        <w:tc>
          <w:tcPr>
            <w:tcW w:w="836" w:type="pct"/>
            <w:vAlign w:val="center"/>
          </w:tcPr>
          <w:p w14:paraId="5898DEC5" w14:textId="77777777" w:rsidR="00AF1FCC" w:rsidRPr="00BB7D20" w:rsidRDefault="00AF1FCC"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 xml:space="preserve">(millions) </w:t>
            </w:r>
          </w:p>
        </w:tc>
      </w:tr>
      <w:tr w:rsidR="00712729" w14:paraId="1BEF9699"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50FD3EA9"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Forestry, Fishing, and Related Activities</w:t>
            </w:r>
          </w:p>
        </w:tc>
        <w:tc>
          <w:tcPr>
            <w:tcW w:w="556" w:type="pct"/>
            <w:vAlign w:val="bottom"/>
          </w:tcPr>
          <w:p w14:paraId="1E59B8EE"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355</w:t>
            </w:r>
          </w:p>
        </w:tc>
        <w:tc>
          <w:tcPr>
            <w:tcW w:w="556" w:type="pct"/>
            <w:vAlign w:val="bottom"/>
          </w:tcPr>
          <w:p w14:paraId="73184CA3"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$18,951</w:t>
            </w:r>
          </w:p>
        </w:tc>
        <w:tc>
          <w:tcPr>
            <w:tcW w:w="836" w:type="pct"/>
            <w:vAlign w:val="bottom"/>
          </w:tcPr>
          <w:p w14:paraId="064102AD"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510</w:t>
            </w:r>
          </w:p>
        </w:tc>
        <w:tc>
          <w:tcPr>
            <w:tcW w:w="836" w:type="pct"/>
            <w:vAlign w:val="bottom"/>
          </w:tcPr>
          <w:p w14:paraId="07106B43"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$21,856</w:t>
            </w:r>
          </w:p>
        </w:tc>
      </w:tr>
      <w:tr w:rsidR="00712729" w14:paraId="20C445BB"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51713A55"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Mining</w:t>
            </w:r>
          </w:p>
        </w:tc>
        <w:tc>
          <w:tcPr>
            <w:tcW w:w="556" w:type="pct"/>
            <w:vAlign w:val="bottom"/>
          </w:tcPr>
          <w:p w14:paraId="7FD7A50B"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638</w:t>
            </w:r>
          </w:p>
        </w:tc>
        <w:tc>
          <w:tcPr>
            <w:tcW w:w="556" w:type="pct"/>
            <w:vAlign w:val="bottom"/>
          </w:tcPr>
          <w:p w14:paraId="0EE392DB"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$145,007</w:t>
            </w:r>
          </w:p>
        </w:tc>
        <w:tc>
          <w:tcPr>
            <w:tcW w:w="836" w:type="pct"/>
            <w:vAlign w:val="bottom"/>
          </w:tcPr>
          <w:p w14:paraId="4B8598C6"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690</w:t>
            </w:r>
          </w:p>
        </w:tc>
        <w:tc>
          <w:tcPr>
            <w:tcW w:w="836" w:type="pct"/>
            <w:vAlign w:val="bottom"/>
          </w:tcPr>
          <w:p w14:paraId="5F42CD21"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$274,318</w:t>
            </w:r>
          </w:p>
        </w:tc>
      </w:tr>
      <w:tr w:rsidR="00712729" w14:paraId="4E0702CD"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24B3C923"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Utilities</w:t>
            </w:r>
          </w:p>
        </w:tc>
        <w:tc>
          <w:tcPr>
            <w:tcW w:w="556" w:type="pct"/>
            <w:vAlign w:val="bottom"/>
          </w:tcPr>
          <w:p w14:paraId="20381204"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198</w:t>
            </w:r>
          </w:p>
        </w:tc>
        <w:tc>
          <w:tcPr>
            <w:tcW w:w="556" w:type="pct"/>
            <w:vAlign w:val="bottom"/>
          </w:tcPr>
          <w:p w14:paraId="2217F62D"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$96,379</w:t>
            </w:r>
          </w:p>
        </w:tc>
        <w:tc>
          <w:tcPr>
            <w:tcW w:w="836" w:type="pct"/>
            <w:vAlign w:val="bottom"/>
          </w:tcPr>
          <w:p w14:paraId="0C4BE435"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377</w:t>
            </w:r>
          </w:p>
        </w:tc>
        <w:tc>
          <w:tcPr>
            <w:tcW w:w="836" w:type="pct"/>
            <w:vAlign w:val="bottom"/>
          </w:tcPr>
          <w:p w14:paraId="567E8026"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$207,634</w:t>
            </w:r>
          </w:p>
        </w:tc>
      </w:tr>
      <w:tr w:rsidR="00712729" w14:paraId="546DF956"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7E0359DF"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Construction</w:t>
            </w:r>
          </w:p>
        </w:tc>
        <w:tc>
          <w:tcPr>
            <w:tcW w:w="556" w:type="pct"/>
            <w:vAlign w:val="bottom"/>
          </w:tcPr>
          <w:p w14:paraId="619BB353"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2,703</w:t>
            </w:r>
          </w:p>
        </w:tc>
        <w:tc>
          <w:tcPr>
            <w:tcW w:w="556" w:type="pct"/>
            <w:vAlign w:val="bottom"/>
          </w:tcPr>
          <w:p w14:paraId="2D3B65F9"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$155,200</w:t>
            </w:r>
          </w:p>
        </w:tc>
        <w:tc>
          <w:tcPr>
            <w:tcW w:w="836" w:type="pct"/>
            <w:vAlign w:val="bottom"/>
          </w:tcPr>
          <w:p w14:paraId="5AC3CDBC"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6,128</w:t>
            </w:r>
          </w:p>
        </w:tc>
        <w:tc>
          <w:tcPr>
            <w:tcW w:w="836" w:type="pct"/>
            <w:vAlign w:val="bottom"/>
          </w:tcPr>
          <w:p w14:paraId="24B87BB1"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$441,347</w:t>
            </w:r>
          </w:p>
        </w:tc>
      </w:tr>
      <w:tr w:rsidR="00712729" w14:paraId="7BFD55D0"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1A032F63"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Manufacturing</w:t>
            </w:r>
          </w:p>
        </w:tc>
        <w:tc>
          <w:tcPr>
            <w:tcW w:w="556" w:type="pct"/>
            <w:vAlign w:val="bottom"/>
          </w:tcPr>
          <w:p w14:paraId="073DA5F6"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4,032</w:t>
            </w:r>
          </w:p>
        </w:tc>
        <w:tc>
          <w:tcPr>
            <w:tcW w:w="556" w:type="pct"/>
            <w:vAlign w:val="bottom"/>
          </w:tcPr>
          <w:p w14:paraId="63147C4C"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$566,439</w:t>
            </w:r>
          </w:p>
        </w:tc>
        <w:tc>
          <w:tcPr>
            <w:tcW w:w="836" w:type="pct"/>
            <w:vAlign w:val="bottom"/>
          </w:tcPr>
          <w:p w14:paraId="23F156B6"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8,562</w:t>
            </w:r>
          </w:p>
        </w:tc>
        <w:tc>
          <w:tcPr>
            <w:tcW w:w="836" w:type="pct"/>
            <w:vAlign w:val="bottom"/>
          </w:tcPr>
          <w:p w14:paraId="7C985B8E"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$1,521,322</w:t>
            </w:r>
          </w:p>
        </w:tc>
      </w:tr>
      <w:tr w:rsidR="00712729" w14:paraId="04663D26"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40D1F6E3"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Wholesale Trade</w:t>
            </w:r>
          </w:p>
        </w:tc>
        <w:tc>
          <w:tcPr>
            <w:tcW w:w="556" w:type="pct"/>
            <w:vAlign w:val="bottom"/>
          </w:tcPr>
          <w:p w14:paraId="51F932B6"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1,453</w:t>
            </w:r>
          </w:p>
        </w:tc>
        <w:tc>
          <w:tcPr>
            <w:tcW w:w="556" w:type="pct"/>
            <w:vAlign w:val="bottom"/>
          </w:tcPr>
          <w:p w14:paraId="601B5E8F"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$187,423</w:t>
            </w:r>
          </w:p>
        </w:tc>
        <w:tc>
          <w:tcPr>
            <w:tcW w:w="836" w:type="pct"/>
            <w:vAlign w:val="bottom"/>
          </w:tcPr>
          <w:p w14:paraId="15078A1D"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4,847</w:t>
            </w:r>
          </w:p>
        </w:tc>
        <w:tc>
          <w:tcPr>
            <w:tcW w:w="836" w:type="pct"/>
            <w:vAlign w:val="bottom"/>
          </w:tcPr>
          <w:p w14:paraId="5D4A3F2B"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$721,351</w:t>
            </w:r>
          </w:p>
        </w:tc>
      </w:tr>
      <w:tr w:rsidR="00712729" w14:paraId="06BE900C"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61449D30"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Retail Trade</w:t>
            </w:r>
          </w:p>
        </w:tc>
        <w:tc>
          <w:tcPr>
            <w:tcW w:w="556" w:type="pct"/>
            <w:vAlign w:val="bottom"/>
          </w:tcPr>
          <w:p w14:paraId="204F3818"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5,167</w:t>
            </w:r>
          </w:p>
        </w:tc>
        <w:tc>
          <w:tcPr>
            <w:tcW w:w="556" w:type="pct"/>
            <w:vAlign w:val="bottom"/>
          </w:tcPr>
          <w:p w14:paraId="1A27BBA6"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$268,042</w:t>
            </w:r>
          </w:p>
        </w:tc>
        <w:tc>
          <w:tcPr>
            <w:tcW w:w="836" w:type="pct"/>
            <w:vAlign w:val="bottom"/>
          </w:tcPr>
          <w:p w14:paraId="01569B5C"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13,018</w:t>
            </w:r>
          </w:p>
        </w:tc>
        <w:tc>
          <w:tcPr>
            <w:tcW w:w="836" w:type="pct"/>
            <w:vAlign w:val="bottom"/>
          </w:tcPr>
          <w:p w14:paraId="7292D9E8"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$742,581</w:t>
            </w:r>
          </w:p>
        </w:tc>
      </w:tr>
      <w:tr w:rsidR="00712729" w14:paraId="0044B465"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57A8D7A0"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Transportation and Warehousing</w:t>
            </w:r>
          </w:p>
        </w:tc>
        <w:tc>
          <w:tcPr>
            <w:tcW w:w="556" w:type="pct"/>
            <w:vAlign w:val="bottom"/>
          </w:tcPr>
          <w:p w14:paraId="036508F8"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1,529</w:t>
            </w:r>
          </w:p>
        </w:tc>
        <w:tc>
          <w:tcPr>
            <w:tcW w:w="556" w:type="pct"/>
            <w:vAlign w:val="bottom"/>
          </w:tcPr>
          <w:p w14:paraId="5615BE86"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$131,180</w:t>
            </w:r>
          </w:p>
        </w:tc>
        <w:tc>
          <w:tcPr>
            <w:tcW w:w="836" w:type="pct"/>
            <w:vAlign w:val="bottom"/>
          </w:tcPr>
          <w:p w14:paraId="1B3B0FDF"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4,310</w:t>
            </w:r>
          </w:p>
        </w:tc>
        <w:tc>
          <w:tcPr>
            <w:tcW w:w="836" w:type="pct"/>
            <w:vAlign w:val="bottom"/>
          </w:tcPr>
          <w:p w14:paraId="43DC94C9"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$377,214</w:t>
            </w:r>
          </w:p>
        </w:tc>
      </w:tr>
      <w:tr w:rsidR="00712729" w14:paraId="1F5B8F36"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66C94435"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Information</w:t>
            </w:r>
          </w:p>
        </w:tc>
        <w:tc>
          <w:tcPr>
            <w:tcW w:w="556" w:type="pct"/>
            <w:vAlign w:val="bottom"/>
          </w:tcPr>
          <w:p w14:paraId="524A83F7"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625</w:t>
            </w:r>
          </w:p>
        </w:tc>
        <w:tc>
          <w:tcPr>
            <w:tcW w:w="556" w:type="pct"/>
            <w:vAlign w:val="bottom"/>
          </w:tcPr>
          <w:p w14:paraId="0FB57360"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$126,006</w:t>
            </w:r>
          </w:p>
        </w:tc>
        <w:tc>
          <w:tcPr>
            <w:tcW w:w="836" w:type="pct"/>
            <w:vAlign w:val="bottom"/>
          </w:tcPr>
          <w:p w14:paraId="3F17D8C8"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2,633</w:t>
            </w:r>
          </w:p>
        </w:tc>
        <w:tc>
          <w:tcPr>
            <w:tcW w:w="836" w:type="pct"/>
            <w:vAlign w:val="bottom"/>
          </w:tcPr>
          <w:p w14:paraId="10E43F42"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$595,956</w:t>
            </w:r>
          </w:p>
        </w:tc>
      </w:tr>
      <w:tr w:rsidR="00712729" w14:paraId="393E9240"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1691C1FE"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Finance and Insurance</w:t>
            </w:r>
          </w:p>
        </w:tc>
        <w:tc>
          <w:tcPr>
            <w:tcW w:w="556" w:type="pct"/>
            <w:vAlign w:val="bottom"/>
          </w:tcPr>
          <w:p w14:paraId="70CBE9AA"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2,065</w:t>
            </w:r>
          </w:p>
        </w:tc>
        <w:tc>
          <w:tcPr>
            <w:tcW w:w="556" w:type="pct"/>
            <w:vAlign w:val="bottom"/>
          </w:tcPr>
          <w:p w14:paraId="59D00808"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$203,404</w:t>
            </w:r>
          </w:p>
        </w:tc>
        <w:tc>
          <w:tcPr>
            <w:tcW w:w="836" w:type="pct"/>
            <w:vAlign w:val="bottom"/>
          </w:tcPr>
          <w:p w14:paraId="1CD0FCB1"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7,921</w:t>
            </w:r>
          </w:p>
        </w:tc>
        <w:tc>
          <w:tcPr>
            <w:tcW w:w="836" w:type="pct"/>
            <w:vAlign w:val="bottom"/>
          </w:tcPr>
          <w:p w14:paraId="187AC75A"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$1,090,870</w:t>
            </w:r>
          </w:p>
        </w:tc>
      </w:tr>
      <w:tr w:rsidR="00712729" w14:paraId="29D3FF1E"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307D70D3"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Real Estate and Rental and Leasing</w:t>
            </w:r>
          </w:p>
        </w:tc>
        <w:tc>
          <w:tcPr>
            <w:tcW w:w="556" w:type="pct"/>
            <w:vAlign w:val="bottom"/>
          </w:tcPr>
          <w:p w14:paraId="575E24BE"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1,939</w:t>
            </w:r>
          </w:p>
        </w:tc>
        <w:tc>
          <w:tcPr>
            <w:tcW w:w="556" w:type="pct"/>
            <w:vAlign w:val="bottom"/>
          </w:tcPr>
          <w:p w14:paraId="51B481E9"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$346,139</w:t>
            </w:r>
          </w:p>
        </w:tc>
        <w:tc>
          <w:tcPr>
            <w:tcW w:w="836" w:type="pct"/>
            <w:vAlign w:val="bottom"/>
          </w:tcPr>
          <w:p w14:paraId="14E8AF46"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6,304</w:t>
            </w:r>
          </w:p>
        </w:tc>
        <w:tc>
          <w:tcPr>
            <w:tcW w:w="836" w:type="pct"/>
            <w:vAlign w:val="bottom"/>
          </w:tcPr>
          <w:p w14:paraId="3D98CBEC"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$1,908,882</w:t>
            </w:r>
          </w:p>
        </w:tc>
      </w:tr>
      <w:tr w:rsidR="00712729" w14:paraId="077A1E37"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44EEE855"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Professional, Scientific, and Technical Services</w:t>
            </w:r>
          </w:p>
        </w:tc>
        <w:tc>
          <w:tcPr>
            <w:tcW w:w="556" w:type="pct"/>
            <w:vAlign w:val="bottom"/>
          </w:tcPr>
          <w:p w14:paraId="1C53D4D4"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2,204</w:t>
            </w:r>
          </w:p>
        </w:tc>
        <w:tc>
          <w:tcPr>
            <w:tcW w:w="556" w:type="pct"/>
            <w:vAlign w:val="bottom"/>
          </w:tcPr>
          <w:p w14:paraId="57189B96"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$184,096</w:t>
            </w:r>
          </w:p>
        </w:tc>
        <w:tc>
          <w:tcPr>
            <w:tcW w:w="836" w:type="pct"/>
            <w:vAlign w:val="bottom"/>
          </w:tcPr>
          <w:p w14:paraId="6615A9C6"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10,041</w:t>
            </w:r>
          </w:p>
        </w:tc>
        <w:tc>
          <w:tcPr>
            <w:tcW w:w="836" w:type="pct"/>
            <w:vAlign w:val="bottom"/>
          </w:tcPr>
          <w:p w14:paraId="681EFA6D"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$1,147,269</w:t>
            </w:r>
          </w:p>
        </w:tc>
      </w:tr>
      <w:tr w:rsidR="00712729" w14:paraId="17CB2197"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72E5C5B2"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Management of Companies and Enterprises</w:t>
            </w:r>
          </w:p>
        </w:tc>
        <w:tc>
          <w:tcPr>
            <w:tcW w:w="556" w:type="pct"/>
            <w:vAlign w:val="bottom"/>
          </w:tcPr>
          <w:p w14:paraId="73DE33D3"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374</w:t>
            </w:r>
          </w:p>
        </w:tc>
        <w:tc>
          <w:tcPr>
            <w:tcW w:w="556" w:type="pct"/>
            <w:vAlign w:val="bottom"/>
          </w:tcPr>
          <w:p w14:paraId="2E7710BA"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$42,063</w:t>
            </w:r>
          </w:p>
        </w:tc>
        <w:tc>
          <w:tcPr>
            <w:tcW w:w="836" w:type="pct"/>
            <w:vAlign w:val="bottom"/>
          </w:tcPr>
          <w:p w14:paraId="28C978C7"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1,793</w:t>
            </w:r>
          </w:p>
        </w:tc>
        <w:tc>
          <w:tcPr>
            <w:tcW w:w="836" w:type="pct"/>
            <w:vAlign w:val="bottom"/>
          </w:tcPr>
          <w:p w14:paraId="542B2F87"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$257,805</w:t>
            </w:r>
          </w:p>
        </w:tc>
      </w:tr>
      <w:tr w:rsidR="00712729" w14:paraId="7CAC8057"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66D465A2"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Administrative and Waste Management Services</w:t>
            </w:r>
          </w:p>
        </w:tc>
        <w:tc>
          <w:tcPr>
            <w:tcW w:w="556" w:type="pct"/>
            <w:vAlign w:val="bottom"/>
          </w:tcPr>
          <w:p w14:paraId="7D4BF880"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2,531</w:t>
            </w:r>
          </w:p>
        </w:tc>
        <w:tc>
          <w:tcPr>
            <w:tcW w:w="556" w:type="pct"/>
            <w:vAlign w:val="bottom"/>
          </w:tcPr>
          <w:p w14:paraId="668941FB"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$102,146</w:t>
            </w:r>
          </w:p>
        </w:tc>
        <w:tc>
          <w:tcPr>
            <w:tcW w:w="836" w:type="pct"/>
            <w:vAlign w:val="bottom"/>
          </w:tcPr>
          <w:p w14:paraId="3AB52136"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8,557</w:t>
            </w:r>
          </w:p>
        </w:tc>
        <w:tc>
          <w:tcPr>
            <w:tcW w:w="836" w:type="pct"/>
            <w:vAlign w:val="bottom"/>
          </w:tcPr>
          <w:p w14:paraId="51C7E517"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$413,412</w:t>
            </w:r>
          </w:p>
        </w:tc>
      </w:tr>
      <w:tr w:rsidR="00712729" w14:paraId="31FDE6CC"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00C47369"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Educational Services</w:t>
            </w:r>
          </w:p>
        </w:tc>
        <w:tc>
          <w:tcPr>
            <w:tcW w:w="556" w:type="pct"/>
            <w:vAlign w:val="bottom"/>
          </w:tcPr>
          <w:p w14:paraId="0B8C228B"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713</w:t>
            </w:r>
          </w:p>
        </w:tc>
        <w:tc>
          <w:tcPr>
            <w:tcW w:w="556" w:type="pct"/>
            <w:vAlign w:val="bottom"/>
          </w:tcPr>
          <w:p w14:paraId="1A15E619"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$23,690</w:t>
            </w:r>
          </w:p>
        </w:tc>
        <w:tc>
          <w:tcPr>
            <w:tcW w:w="836" w:type="pct"/>
            <w:vAlign w:val="bottom"/>
          </w:tcPr>
          <w:p w14:paraId="55290384"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3,483</w:t>
            </w:r>
          </w:p>
        </w:tc>
        <w:tc>
          <w:tcPr>
            <w:tcW w:w="836" w:type="pct"/>
            <w:vAlign w:val="bottom"/>
          </w:tcPr>
          <w:p w14:paraId="2178CA84"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$145,542</w:t>
            </w:r>
          </w:p>
        </w:tc>
      </w:tr>
      <w:tr w:rsidR="00712729" w14:paraId="236D3B72"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748BE677"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Health Care and Social Assistance</w:t>
            </w:r>
          </w:p>
        </w:tc>
        <w:tc>
          <w:tcPr>
            <w:tcW w:w="556" w:type="pct"/>
            <w:vAlign w:val="bottom"/>
          </w:tcPr>
          <w:p w14:paraId="36155293"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4,762</w:t>
            </w:r>
          </w:p>
        </w:tc>
        <w:tc>
          <w:tcPr>
            <w:tcW w:w="556" w:type="pct"/>
            <w:vAlign w:val="bottom"/>
          </w:tcPr>
          <w:p w14:paraId="6B0DA83E"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$286,062</w:t>
            </w:r>
          </w:p>
        </w:tc>
        <w:tc>
          <w:tcPr>
            <w:tcW w:w="836" w:type="pct"/>
            <w:vAlign w:val="bottom"/>
          </w:tcPr>
          <w:p w14:paraId="05FC405F"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15,093</w:t>
            </w:r>
          </w:p>
        </w:tc>
        <w:tc>
          <w:tcPr>
            <w:tcW w:w="836" w:type="pct"/>
            <w:vAlign w:val="bottom"/>
          </w:tcPr>
          <w:p w14:paraId="393E3B14"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$974,190</w:t>
            </w:r>
          </w:p>
        </w:tc>
      </w:tr>
      <w:tr w:rsidR="00712729" w14:paraId="256EE886"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308E3B56"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Arts, Entertainment, and Recreation</w:t>
            </w:r>
          </w:p>
        </w:tc>
        <w:tc>
          <w:tcPr>
            <w:tcW w:w="556" w:type="pct"/>
            <w:vAlign w:val="bottom"/>
          </w:tcPr>
          <w:p w14:paraId="5B87318D"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861</w:t>
            </w:r>
          </w:p>
        </w:tc>
        <w:tc>
          <w:tcPr>
            <w:tcW w:w="556" w:type="pct"/>
            <w:vAlign w:val="bottom"/>
          </w:tcPr>
          <w:p w14:paraId="6C84C9DC"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$28,704</w:t>
            </w:r>
          </w:p>
        </w:tc>
        <w:tc>
          <w:tcPr>
            <w:tcW w:w="836" w:type="pct"/>
            <w:vAlign w:val="bottom"/>
          </w:tcPr>
          <w:p w14:paraId="3D40DC62"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3,136</w:t>
            </w:r>
          </w:p>
        </w:tc>
        <w:tc>
          <w:tcPr>
            <w:tcW w:w="836" w:type="pct"/>
            <w:vAlign w:val="bottom"/>
          </w:tcPr>
          <w:p w14:paraId="7C535EF5"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$137,255</w:t>
            </w:r>
          </w:p>
        </w:tc>
      </w:tr>
      <w:tr w:rsidR="00712729" w14:paraId="39F48FA2"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2ADB188D"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Accommodation and Food Services</w:t>
            </w:r>
          </w:p>
        </w:tc>
        <w:tc>
          <w:tcPr>
            <w:tcW w:w="556" w:type="pct"/>
            <w:vAlign w:val="bottom"/>
          </w:tcPr>
          <w:p w14:paraId="324991B8"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3,373</w:t>
            </w:r>
          </w:p>
        </w:tc>
        <w:tc>
          <w:tcPr>
            <w:tcW w:w="556" w:type="pct"/>
            <w:vAlign w:val="bottom"/>
          </w:tcPr>
          <w:p w14:paraId="4B681809"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$115,711</w:t>
            </w:r>
          </w:p>
        </w:tc>
        <w:tc>
          <w:tcPr>
            <w:tcW w:w="836" w:type="pct"/>
            <w:vAlign w:val="bottom"/>
          </w:tcPr>
          <w:p w14:paraId="736EE317"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9,426</w:t>
            </w:r>
          </w:p>
        </w:tc>
        <w:tc>
          <w:tcPr>
            <w:tcW w:w="836" w:type="pct"/>
            <w:vAlign w:val="bottom"/>
          </w:tcPr>
          <w:p w14:paraId="000AD0B0"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$377,739</w:t>
            </w:r>
          </w:p>
        </w:tc>
      </w:tr>
      <w:tr w:rsidR="00712729" w14:paraId="43CE622F"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76370D52"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Other Services, except Public Administration</w:t>
            </w:r>
          </w:p>
        </w:tc>
        <w:tc>
          <w:tcPr>
            <w:tcW w:w="556" w:type="pct"/>
            <w:vAlign w:val="bottom"/>
          </w:tcPr>
          <w:p w14:paraId="3906F79A"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2,851</w:t>
            </w:r>
          </w:p>
        </w:tc>
        <w:tc>
          <w:tcPr>
            <w:tcW w:w="556" w:type="pct"/>
            <w:vAlign w:val="bottom"/>
          </w:tcPr>
          <w:p w14:paraId="5B55AFAD"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$96,843</w:t>
            </w:r>
          </w:p>
        </w:tc>
        <w:tc>
          <w:tcPr>
            <w:tcW w:w="836" w:type="pct"/>
            <w:vAlign w:val="bottom"/>
          </w:tcPr>
          <w:p w14:paraId="01416CCC"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7,693</w:t>
            </w:r>
          </w:p>
        </w:tc>
        <w:tc>
          <w:tcPr>
            <w:tcW w:w="836" w:type="pct"/>
            <w:vAlign w:val="bottom"/>
          </w:tcPr>
          <w:p w14:paraId="45F785A2"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$316,671</w:t>
            </w:r>
          </w:p>
        </w:tc>
      </w:tr>
      <w:tr w:rsidR="00712729" w14:paraId="63A78F3E"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5F996B35"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State and Local Government</w:t>
            </w:r>
          </w:p>
        </w:tc>
        <w:tc>
          <w:tcPr>
            <w:tcW w:w="556" w:type="pct"/>
            <w:vAlign w:val="bottom"/>
          </w:tcPr>
          <w:p w14:paraId="1BB2AAB2"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5,996</w:t>
            </w:r>
          </w:p>
        </w:tc>
        <w:tc>
          <w:tcPr>
            <w:tcW w:w="556" w:type="pct"/>
            <w:vAlign w:val="bottom"/>
          </w:tcPr>
          <w:p w14:paraId="304B2B5B"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$378,385</w:t>
            </w:r>
          </w:p>
        </w:tc>
        <w:tc>
          <w:tcPr>
            <w:tcW w:w="836" w:type="pct"/>
            <w:vAlign w:val="bottom"/>
          </w:tcPr>
          <w:p w14:paraId="4ECB20D8"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13,175</w:t>
            </w:r>
          </w:p>
        </w:tc>
        <w:tc>
          <w:tcPr>
            <w:tcW w:w="836" w:type="pct"/>
            <w:vAlign w:val="bottom"/>
          </w:tcPr>
          <w:p w14:paraId="61B7CFB0"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$1,121,170</w:t>
            </w:r>
          </w:p>
        </w:tc>
      </w:tr>
      <w:tr w:rsidR="00712729" w14:paraId="303D7E9A"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2E2F247A"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Federal Civilian</w:t>
            </w:r>
          </w:p>
        </w:tc>
        <w:tc>
          <w:tcPr>
            <w:tcW w:w="556" w:type="pct"/>
            <w:vAlign w:val="bottom"/>
          </w:tcPr>
          <w:p w14:paraId="619725D3"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652</w:t>
            </w:r>
          </w:p>
        </w:tc>
        <w:tc>
          <w:tcPr>
            <w:tcW w:w="556" w:type="pct"/>
            <w:vAlign w:val="bottom"/>
          </w:tcPr>
          <w:p w14:paraId="7E92F0C2"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$72,923</w:t>
            </w:r>
          </w:p>
        </w:tc>
        <w:tc>
          <w:tcPr>
            <w:tcW w:w="836" w:type="pct"/>
            <w:vAlign w:val="bottom"/>
          </w:tcPr>
          <w:p w14:paraId="662B2BE6"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2,223</w:t>
            </w:r>
          </w:p>
        </w:tc>
        <w:tc>
          <w:tcPr>
            <w:tcW w:w="836" w:type="pct"/>
            <w:vAlign w:val="bottom"/>
          </w:tcPr>
          <w:p w14:paraId="21400646"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$297,584</w:t>
            </w:r>
          </w:p>
        </w:tc>
      </w:tr>
      <w:tr w:rsidR="00712729" w14:paraId="4CBF4E3D"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422EA540"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Federal Military</w:t>
            </w:r>
          </w:p>
        </w:tc>
        <w:tc>
          <w:tcPr>
            <w:tcW w:w="556" w:type="pct"/>
            <w:vAlign w:val="bottom"/>
          </w:tcPr>
          <w:p w14:paraId="128650C9"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790</w:t>
            </w:r>
          </w:p>
        </w:tc>
        <w:tc>
          <w:tcPr>
            <w:tcW w:w="556" w:type="pct"/>
            <w:vAlign w:val="bottom"/>
          </w:tcPr>
          <w:p w14:paraId="45D5DBE7"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$163,686</w:t>
            </w:r>
          </w:p>
        </w:tc>
        <w:tc>
          <w:tcPr>
            <w:tcW w:w="836" w:type="pct"/>
            <w:vAlign w:val="bottom"/>
          </w:tcPr>
          <w:p w14:paraId="3861FF31"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1,265</w:t>
            </w:r>
          </w:p>
        </w:tc>
        <w:tc>
          <w:tcPr>
            <w:tcW w:w="836" w:type="pct"/>
            <w:vAlign w:val="bottom"/>
          </w:tcPr>
          <w:p w14:paraId="2287BF36"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$258,341</w:t>
            </w:r>
          </w:p>
        </w:tc>
      </w:tr>
      <w:tr w:rsidR="00712729" w14:paraId="54300ADA" w14:textId="77777777" w:rsidTr="005D5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622948E8" w14:textId="77777777" w:rsidR="00712729" w:rsidRPr="009F5AAF" w:rsidRDefault="00712729" w:rsidP="005D5AC4">
            <w:pPr>
              <w:rPr>
                <w:rFonts w:ascii="Calibri" w:hAnsi="Calibri"/>
                <w:color w:val="000000"/>
                <w:sz w:val="18"/>
                <w:szCs w:val="18"/>
              </w:rPr>
            </w:pPr>
            <w:r w:rsidRPr="009F5AAF">
              <w:rPr>
                <w:rFonts w:ascii="Calibri" w:hAnsi="Calibri"/>
                <w:color w:val="000000"/>
                <w:sz w:val="18"/>
                <w:szCs w:val="18"/>
              </w:rPr>
              <w:t>Farm</w:t>
            </w:r>
          </w:p>
        </w:tc>
        <w:tc>
          <w:tcPr>
            <w:tcW w:w="556" w:type="pct"/>
            <w:vAlign w:val="bottom"/>
          </w:tcPr>
          <w:p w14:paraId="64DEE8CF"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1,676</w:t>
            </w:r>
          </w:p>
        </w:tc>
        <w:tc>
          <w:tcPr>
            <w:tcW w:w="556" w:type="pct"/>
            <w:vAlign w:val="bottom"/>
          </w:tcPr>
          <w:p w14:paraId="5696490E"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$88,028</w:t>
            </w:r>
          </w:p>
        </w:tc>
        <w:tc>
          <w:tcPr>
            <w:tcW w:w="836" w:type="pct"/>
            <w:vAlign w:val="bottom"/>
          </w:tcPr>
          <w:p w14:paraId="5E7D8197"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940</w:t>
            </w:r>
          </w:p>
        </w:tc>
        <w:tc>
          <w:tcPr>
            <w:tcW w:w="836" w:type="pct"/>
            <w:vAlign w:val="bottom"/>
          </w:tcPr>
          <w:p w14:paraId="0FE16017" w14:textId="77777777" w:rsidR="00712729" w:rsidRDefault="00712729" w:rsidP="005D5AC4">
            <w:pPr>
              <w:jc w:val="right"/>
              <w:cnfStyle w:val="000000010000" w:firstRow="0" w:lastRow="0" w:firstColumn="0" w:lastColumn="0" w:oddVBand="0" w:evenVBand="0" w:oddHBand="0" w:evenHBand="1" w:firstRowFirstColumn="0" w:firstRowLastColumn="0" w:lastRowFirstColumn="0" w:lastRowLastColumn="0"/>
              <w:rPr>
                <w:rFonts w:ascii="Calibri" w:hAnsi="Calibri"/>
                <w:color w:val="000000"/>
                <w:sz w:val="18"/>
                <w:szCs w:val="18"/>
              </w:rPr>
            </w:pPr>
            <w:r>
              <w:rPr>
                <w:rFonts w:ascii="Calibri" w:hAnsi="Calibri"/>
                <w:color w:val="000000"/>
                <w:sz w:val="18"/>
                <w:szCs w:val="18"/>
              </w:rPr>
              <w:t>$99,309</w:t>
            </w:r>
          </w:p>
        </w:tc>
      </w:tr>
      <w:tr w:rsidR="00712729" w14:paraId="6357F465" w14:textId="77777777" w:rsidTr="005D5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pct"/>
            <w:vAlign w:val="center"/>
          </w:tcPr>
          <w:p w14:paraId="521D2563" w14:textId="77777777" w:rsidR="00712729" w:rsidRPr="009F5AAF" w:rsidRDefault="00712729" w:rsidP="005D5AC4">
            <w:pPr>
              <w:jc w:val="right"/>
              <w:rPr>
                <w:rFonts w:ascii="Calibri" w:hAnsi="Calibri"/>
                <w:color w:val="000000"/>
                <w:sz w:val="18"/>
                <w:szCs w:val="18"/>
              </w:rPr>
            </w:pPr>
            <w:r>
              <w:rPr>
                <w:rFonts w:ascii="Calibri" w:hAnsi="Calibri"/>
                <w:color w:val="000000"/>
                <w:sz w:val="18"/>
                <w:szCs w:val="18"/>
              </w:rPr>
              <w:t>TOTAL OF ALL SECTORS =</w:t>
            </w:r>
          </w:p>
        </w:tc>
        <w:tc>
          <w:tcPr>
            <w:tcW w:w="556" w:type="pct"/>
            <w:vAlign w:val="bottom"/>
          </w:tcPr>
          <w:p w14:paraId="433018C9"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47,487</w:t>
            </w:r>
          </w:p>
        </w:tc>
        <w:tc>
          <w:tcPr>
            <w:tcW w:w="556" w:type="pct"/>
            <w:vAlign w:val="center"/>
          </w:tcPr>
          <w:p w14:paraId="2733BE59" w14:textId="77777777" w:rsidR="00712729" w:rsidRPr="007D082C"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$3,826,507</w:t>
            </w:r>
          </w:p>
        </w:tc>
        <w:tc>
          <w:tcPr>
            <w:tcW w:w="836" w:type="pct"/>
            <w:vAlign w:val="bottom"/>
          </w:tcPr>
          <w:p w14:paraId="071A2252"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132,123</w:t>
            </w:r>
          </w:p>
        </w:tc>
        <w:tc>
          <w:tcPr>
            <w:tcW w:w="836" w:type="pct"/>
            <w:vAlign w:val="bottom"/>
          </w:tcPr>
          <w:p w14:paraId="10A349EE" w14:textId="77777777" w:rsidR="00712729" w:rsidRDefault="00712729" w:rsidP="005D5AC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$13,449,619</w:t>
            </w:r>
          </w:p>
        </w:tc>
      </w:tr>
    </w:tbl>
    <w:p w14:paraId="4047A4BA" w14:textId="77777777" w:rsidR="00481FBD" w:rsidRDefault="00481FBD" w:rsidP="006F7D39">
      <w:pPr>
        <w:spacing w:after="200"/>
      </w:pPr>
    </w:p>
    <w:sectPr w:rsidR="00481FBD" w:rsidSect="005C3D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D312B" w14:textId="77777777" w:rsidR="005C0387" w:rsidRDefault="005C0387" w:rsidP="00026DEA">
      <w:pPr>
        <w:spacing w:line="240" w:lineRule="auto"/>
      </w:pPr>
      <w:r>
        <w:separator/>
      </w:r>
    </w:p>
  </w:endnote>
  <w:endnote w:type="continuationSeparator" w:id="0">
    <w:p w14:paraId="238E78EC" w14:textId="77777777" w:rsidR="005C0387" w:rsidRDefault="005C0387" w:rsidP="00026D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9099"/>
      <w:docPartObj>
        <w:docPartGallery w:val="Page Numbers (Bottom of Page)"/>
        <w:docPartUnique/>
      </w:docPartObj>
    </w:sdtPr>
    <w:sdtEndPr>
      <w:rPr>
        <w:noProof/>
      </w:rPr>
    </w:sdtEndPr>
    <w:sdtContent>
      <w:p w14:paraId="5CBCEAAD" w14:textId="77777777" w:rsidR="002E3219" w:rsidRDefault="002E3219">
        <w:pPr>
          <w:pStyle w:val="Footer"/>
          <w:jc w:val="right"/>
        </w:pPr>
        <w:r>
          <w:fldChar w:fldCharType="begin"/>
        </w:r>
        <w:r>
          <w:instrText xml:space="preserve"> PAGE   \* MERGEFORMAT </w:instrText>
        </w:r>
        <w:r>
          <w:fldChar w:fldCharType="separate"/>
        </w:r>
        <w:r w:rsidR="003749E7">
          <w:rPr>
            <w:noProof/>
          </w:rPr>
          <w:t>4</w:t>
        </w:r>
        <w:r>
          <w:rPr>
            <w:noProof/>
          </w:rPr>
          <w:fldChar w:fldCharType="end"/>
        </w:r>
      </w:p>
    </w:sdtContent>
  </w:sdt>
  <w:p w14:paraId="5683C803" w14:textId="77777777" w:rsidR="002E3219" w:rsidRDefault="002E3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3F776" w14:textId="77777777" w:rsidR="005C0387" w:rsidRDefault="005C0387" w:rsidP="00026DEA">
      <w:pPr>
        <w:spacing w:line="240" w:lineRule="auto"/>
      </w:pPr>
      <w:r>
        <w:separator/>
      </w:r>
    </w:p>
  </w:footnote>
  <w:footnote w:type="continuationSeparator" w:id="0">
    <w:p w14:paraId="015B4057" w14:textId="77777777" w:rsidR="005C0387" w:rsidRDefault="005C0387" w:rsidP="00026DEA">
      <w:pPr>
        <w:spacing w:line="240" w:lineRule="auto"/>
      </w:pPr>
      <w:r>
        <w:continuationSeparator/>
      </w:r>
    </w:p>
  </w:footnote>
  <w:footnote w:id="1">
    <w:p w14:paraId="3072D0D3" w14:textId="77777777" w:rsidR="001A118E" w:rsidRDefault="001A118E">
      <w:pPr>
        <w:pStyle w:val="FootnoteText"/>
      </w:pPr>
      <w:r>
        <w:rPr>
          <w:rStyle w:val="FootnoteReference"/>
        </w:rPr>
        <w:footnoteRef/>
      </w:r>
      <w:r>
        <w:t xml:space="preserve"> Special thanks to Scott Nystrom</w:t>
      </w:r>
      <w:r w:rsidR="008261B3">
        <w:t xml:space="preserve"> of REMI for </w:t>
      </w:r>
      <w:r w:rsidR="004B503F">
        <w:t>highlighting the</w:t>
      </w:r>
      <w:r w:rsidR="00280A8C">
        <w:t xml:space="preserve"> critical role of electricity to</w:t>
      </w:r>
      <w:r w:rsidR="004B503F">
        <w:t xml:space="preserve"> the economy of rural America. </w:t>
      </w:r>
      <w:r w:rsidR="008261B3">
        <w:t xml:space="preserve"> </w:t>
      </w:r>
      <w:r w:rsidR="00C435F0">
        <w:t xml:space="preserve"> </w:t>
      </w:r>
    </w:p>
  </w:footnote>
  <w:footnote w:id="2">
    <w:p w14:paraId="3FC1F28A" w14:textId="77777777" w:rsidR="002E3219" w:rsidRDefault="002E3219">
      <w:pPr>
        <w:pStyle w:val="FootnoteText"/>
      </w:pPr>
      <w:r>
        <w:rPr>
          <w:rStyle w:val="FootnoteReference"/>
        </w:rPr>
        <w:footnoteRef/>
      </w:r>
      <w:r>
        <w:t xml:space="preserve"> The independent “city/counties” throughout the United States, political entities organized as cities and not officially part of a surrounding county, are </w:t>
      </w:r>
      <w:r>
        <w:rPr>
          <w:i/>
        </w:rPr>
        <w:t>de facto</w:t>
      </w:r>
      <w:r>
        <w:t xml:space="preserve"> counties in the REMI model—such cities as Alexandria, Virginia or Baltimore, Maryland, for instance.</w:t>
      </w:r>
    </w:p>
  </w:footnote>
  <w:footnote w:id="3">
    <w:p w14:paraId="0E827858" w14:textId="77777777" w:rsidR="002E3219" w:rsidRDefault="002E3219" w:rsidP="00F5376E">
      <w:pPr>
        <w:pStyle w:val="FootnoteText"/>
      </w:pPr>
      <w:r>
        <w:rPr>
          <w:rStyle w:val="FootnoteReference"/>
        </w:rPr>
        <w:footnoteRef/>
      </w:r>
      <w:r w:rsidR="001A118E">
        <w:t xml:space="preserve"> </w:t>
      </w:r>
      <w:r w:rsidRPr="00A226B9">
        <w:t xml:space="preserve">Electric </w:t>
      </w:r>
      <w:r>
        <w:t>coop</w:t>
      </w:r>
      <w:r w:rsidRPr="00A226B9">
        <w:t xml:space="preserve">eratives </w:t>
      </w:r>
      <w:r>
        <w:t>are: P</w:t>
      </w:r>
      <w:r w:rsidRPr="00A226B9">
        <w:t>rivate, independent, non-profit electric utilities; Owned by the customers they serve; Incorporated under the laws of the states in which they operate; Established to provide at-cost electric service; Governed by a board of directors elected from the membership which sets policies and procedures that are implemented by the co-op’s management</w:t>
      </w:r>
      <w:r>
        <w:t>,” &lt;</w:t>
      </w:r>
      <w:hyperlink r:id="rId1" w:history="1">
        <w:r w:rsidRPr="00A226B9">
          <w:rPr>
            <w:rStyle w:val="Hyperlink"/>
          </w:rPr>
          <w:t>http://www.nreca.</w:t>
        </w:r>
        <w:r>
          <w:rPr>
            <w:rStyle w:val="Hyperlink"/>
          </w:rPr>
          <w:t>Co-op</w:t>
        </w:r>
        <w:r w:rsidRPr="00A226B9">
          <w:rPr>
            <w:rStyle w:val="Hyperlink"/>
          </w:rPr>
          <w:t>/about-electric-</w:t>
        </w:r>
        <w:r>
          <w:rPr>
            <w:rStyle w:val="Hyperlink"/>
          </w:rPr>
          <w:t>Co-op</w:t>
        </w:r>
        <w:r w:rsidRPr="00A226B9">
          <w:rPr>
            <w:rStyle w:val="Hyperlink"/>
          </w:rPr>
          <w:t>eratives/co-op-facts-figures/</w:t>
        </w:r>
      </w:hyperlink>
      <w:r>
        <w:t>&gt;.</w:t>
      </w:r>
    </w:p>
  </w:footnote>
  <w:footnote w:id="4">
    <w:p w14:paraId="3E4F8423" w14:textId="77777777" w:rsidR="002E3219" w:rsidRDefault="002E3219" w:rsidP="004E4EC0">
      <w:pPr>
        <w:pStyle w:val="FootnoteText"/>
      </w:pPr>
      <w:r>
        <w:rPr>
          <w:rStyle w:val="FootnoteReference"/>
        </w:rPr>
        <w:footnoteRef/>
      </w:r>
      <w:r>
        <w:t xml:space="preserve"> </w:t>
      </w:r>
      <w:r w:rsidRPr="00975B8D">
        <w:t>The breakout for Hawaii is such that Kauai County is part of Co-op Nation while the other counties (with Hawaii, Honolulu, Maui, and Kalawao Counties) belong to the rest of United States region. Alaska is a special case where the whole state is a part of the rest of United States region owing to data limitations with its small, rural, outlying areas with little permanent economic activity.</w:t>
      </w:r>
    </w:p>
  </w:footnote>
  <w:footnote w:id="5">
    <w:p w14:paraId="0B8D0716" w14:textId="77777777" w:rsidR="002E3219" w:rsidRDefault="002E3219" w:rsidP="006925DF">
      <w:pPr>
        <w:pStyle w:val="FootnoteText"/>
      </w:pPr>
      <w:r>
        <w:rPr>
          <w:rStyle w:val="FootnoteReference"/>
        </w:rPr>
        <w:footnoteRef/>
      </w:r>
      <w:r>
        <w:t xml:space="preserve"> The electricity share of output weighted by the output of each industry in the two regions, where large industries with a distinct need for electricity inputs (such as manufacturing in Co-op Nation or some of the petroleum refining in the rest of the coun</w:t>
      </w:r>
      <w:r w:rsidR="00626448">
        <w:t>try) count</w:t>
      </w:r>
      <w:r>
        <w:t xml:space="preserve"> heavily while small industries with diminutive electricity input (such as museums in the rest of the United States) count for relatively little</w:t>
      </w:r>
      <w:r w:rsidR="00626448">
        <w:t>.</w:t>
      </w:r>
    </w:p>
  </w:footnote>
  <w:footnote w:id="6">
    <w:p w14:paraId="3C559EB3" w14:textId="77777777" w:rsidR="002E3219" w:rsidRDefault="002E3219">
      <w:pPr>
        <w:pStyle w:val="FootnoteText"/>
      </w:pPr>
      <w:r>
        <w:rPr>
          <w:rStyle w:val="FootnoteReference"/>
        </w:rPr>
        <w:footnoteRef/>
      </w:r>
      <w:r>
        <w:t xml:space="preserve"> Although not modeled here, an alternative assumption of tax increases to cover the higher costs of electricity would be expected to further increase the cost of goods and services leading to an additional incremental decline in the demand for goods and services and, ultimately, additional declines in employment.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560B" w14:textId="77777777" w:rsidR="00331AD3" w:rsidRDefault="00331AD3" w:rsidP="00234785">
    <w:pPr>
      <w:pStyle w:val="Header"/>
      <w:jc w:val="right"/>
    </w:pPr>
    <w:r>
      <w:rPr>
        <w:rFonts w:cstheme="minorHAnsi"/>
        <w:noProof/>
        <w:sz w:val="72"/>
        <w:szCs w:val="72"/>
      </w:rPr>
      <w:drawing>
        <wp:inline distT="0" distB="0" distL="0" distR="0" wp14:anchorId="6175E01E" wp14:editId="0223BF69">
          <wp:extent cx="2405988" cy="659820"/>
          <wp:effectExtent l="0" t="0" r="0" b="6985"/>
          <wp:docPr id="7" name="Picture 0" descr="NRECA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ECA logo (2).jpg"/>
                  <pic:cNvPicPr/>
                </pic:nvPicPr>
                <pic:blipFill>
                  <a:blip r:embed="rId1" cstate="print"/>
                  <a:stretch>
                    <a:fillRect/>
                  </a:stretch>
                </pic:blipFill>
                <pic:spPr>
                  <a:xfrm>
                    <a:off x="0" y="0"/>
                    <a:ext cx="2422471" cy="664340"/>
                  </a:xfrm>
                  <a:prstGeom prst="rect">
                    <a:avLst/>
                  </a:prstGeom>
                </pic:spPr>
              </pic:pic>
            </a:graphicData>
          </a:graphic>
        </wp:inline>
      </w:drawing>
    </w:r>
  </w:p>
  <w:p w14:paraId="06EAD537" w14:textId="77777777" w:rsidR="002E3219" w:rsidRDefault="00331AD3" w:rsidP="00331AD3">
    <w:pPr>
      <w:pStyle w:val="Header"/>
      <w:jc w:val="right"/>
    </w:pPr>
    <w:r>
      <w:tab/>
    </w:r>
    <w:r>
      <w:tab/>
      <w:t>July 27,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193"/>
    <w:multiLevelType w:val="hybridMultilevel"/>
    <w:tmpl w:val="080AE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7A3C19"/>
    <w:multiLevelType w:val="hybridMultilevel"/>
    <w:tmpl w:val="B374D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06312"/>
    <w:multiLevelType w:val="hybridMultilevel"/>
    <w:tmpl w:val="D97E5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E30DB5"/>
    <w:multiLevelType w:val="hybridMultilevel"/>
    <w:tmpl w:val="2CBC7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934C82"/>
    <w:multiLevelType w:val="hybridMultilevel"/>
    <w:tmpl w:val="939C6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8827EF"/>
    <w:multiLevelType w:val="hybridMultilevel"/>
    <w:tmpl w:val="87BC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55035"/>
    <w:multiLevelType w:val="hybridMultilevel"/>
    <w:tmpl w:val="8A7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FA6B42"/>
    <w:multiLevelType w:val="hybridMultilevel"/>
    <w:tmpl w:val="25CA0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CB5D9C"/>
    <w:multiLevelType w:val="hybridMultilevel"/>
    <w:tmpl w:val="0C24F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0B3E10"/>
    <w:multiLevelType w:val="hybridMultilevel"/>
    <w:tmpl w:val="67E8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E6243"/>
    <w:multiLevelType w:val="hybridMultilevel"/>
    <w:tmpl w:val="C69276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6D9834B7"/>
    <w:multiLevelType w:val="hybridMultilevel"/>
    <w:tmpl w:val="1D54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3"/>
  </w:num>
  <w:num w:numId="6">
    <w:abstractNumId w:val="6"/>
  </w:num>
  <w:num w:numId="7">
    <w:abstractNumId w:val="5"/>
  </w:num>
  <w:num w:numId="8">
    <w:abstractNumId w:val="11"/>
  </w:num>
  <w:num w:numId="9">
    <w:abstractNumId w:val="9"/>
  </w:num>
  <w:num w:numId="10">
    <w:abstractNumId w:val="1"/>
  </w:num>
  <w:num w:numId="11">
    <w:abstractNumId w:val="10"/>
  </w:num>
  <w:num w:numId="12">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yes, Mark E.">
    <w15:presenceInfo w15:providerId="None" w15:userId="Hayes, Mark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63"/>
    <w:rsid w:val="00022572"/>
    <w:rsid w:val="00026394"/>
    <w:rsid w:val="00026DEA"/>
    <w:rsid w:val="00031EB6"/>
    <w:rsid w:val="0004553B"/>
    <w:rsid w:val="0004786E"/>
    <w:rsid w:val="00061BE0"/>
    <w:rsid w:val="000627BA"/>
    <w:rsid w:val="00064190"/>
    <w:rsid w:val="00071BCC"/>
    <w:rsid w:val="00083CF7"/>
    <w:rsid w:val="00084FC4"/>
    <w:rsid w:val="000A214B"/>
    <w:rsid w:val="000A732B"/>
    <w:rsid w:val="000C1270"/>
    <w:rsid w:val="000D1E67"/>
    <w:rsid w:val="000D1EA4"/>
    <w:rsid w:val="000D6156"/>
    <w:rsid w:val="000D733F"/>
    <w:rsid w:val="000E13E4"/>
    <w:rsid w:val="00103E16"/>
    <w:rsid w:val="00106061"/>
    <w:rsid w:val="00107003"/>
    <w:rsid w:val="0011042C"/>
    <w:rsid w:val="00111AE3"/>
    <w:rsid w:val="00114B29"/>
    <w:rsid w:val="001171F8"/>
    <w:rsid w:val="001379C3"/>
    <w:rsid w:val="0016271D"/>
    <w:rsid w:val="00166FD8"/>
    <w:rsid w:val="001A118E"/>
    <w:rsid w:val="001A3D24"/>
    <w:rsid w:val="001A3E52"/>
    <w:rsid w:val="001A6746"/>
    <w:rsid w:val="001A6B7D"/>
    <w:rsid w:val="001B587E"/>
    <w:rsid w:val="001C04A6"/>
    <w:rsid w:val="001E18EF"/>
    <w:rsid w:val="001F476E"/>
    <w:rsid w:val="00200005"/>
    <w:rsid w:val="00205FFA"/>
    <w:rsid w:val="00234785"/>
    <w:rsid w:val="00235BEE"/>
    <w:rsid w:val="00254CE5"/>
    <w:rsid w:val="00264113"/>
    <w:rsid w:val="00271259"/>
    <w:rsid w:val="00280A8C"/>
    <w:rsid w:val="00281B31"/>
    <w:rsid w:val="00286AF3"/>
    <w:rsid w:val="00286D85"/>
    <w:rsid w:val="002A6353"/>
    <w:rsid w:val="002B164A"/>
    <w:rsid w:val="002C7D2A"/>
    <w:rsid w:val="002D127E"/>
    <w:rsid w:val="002D3CE0"/>
    <w:rsid w:val="002D3D3A"/>
    <w:rsid w:val="002E0624"/>
    <w:rsid w:val="002E3219"/>
    <w:rsid w:val="0030031F"/>
    <w:rsid w:val="00314FAF"/>
    <w:rsid w:val="00315853"/>
    <w:rsid w:val="00331AD3"/>
    <w:rsid w:val="003414DC"/>
    <w:rsid w:val="003422AF"/>
    <w:rsid w:val="00343CA3"/>
    <w:rsid w:val="00343E95"/>
    <w:rsid w:val="00344C14"/>
    <w:rsid w:val="003460D8"/>
    <w:rsid w:val="00354CCE"/>
    <w:rsid w:val="003642FD"/>
    <w:rsid w:val="00367896"/>
    <w:rsid w:val="003738CC"/>
    <w:rsid w:val="003749E7"/>
    <w:rsid w:val="0038153B"/>
    <w:rsid w:val="00384A61"/>
    <w:rsid w:val="00385B4F"/>
    <w:rsid w:val="00394516"/>
    <w:rsid w:val="003C7772"/>
    <w:rsid w:val="003E1200"/>
    <w:rsid w:val="003F5FC4"/>
    <w:rsid w:val="003F6FD4"/>
    <w:rsid w:val="004267FC"/>
    <w:rsid w:val="00430A03"/>
    <w:rsid w:val="00437272"/>
    <w:rsid w:val="00437EC6"/>
    <w:rsid w:val="0044276A"/>
    <w:rsid w:val="00444F38"/>
    <w:rsid w:val="00450A28"/>
    <w:rsid w:val="00462275"/>
    <w:rsid w:val="004671DD"/>
    <w:rsid w:val="00477B30"/>
    <w:rsid w:val="00480DDA"/>
    <w:rsid w:val="00481FBD"/>
    <w:rsid w:val="00483801"/>
    <w:rsid w:val="004A780A"/>
    <w:rsid w:val="004B503F"/>
    <w:rsid w:val="004E4EC0"/>
    <w:rsid w:val="00530320"/>
    <w:rsid w:val="00536E3B"/>
    <w:rsid w:val="005426B9"/>
    <w:rsid w:val="00545500"/>
    <w:rsid w:val="005475E8"/>
    <w:rsid w:val="00550416"/>
    <w:rsid w:val="005558CC"/>
    <w:rsid w:val="00555A64"/>
    <w:rsid w:val="0056331B"/>
    <w:rsid w:val="00565F0E"/>
    <w:rsid w:val="005661C9"/>
    <w:rsid w:val="00574466"/>
    <w:rsid w:val="00581C82"/>
    <w:rsid w:val="005876BE"/>
    <w:rsid w:val="005A78FB"/>
    <w:rsid w:val="005C0387"/>
    <w:rsid w:val="005C133F"/>
    <w:rsid w:val="005C2976"/>
    <w:rsid w:val="005C3D4D"/>
    <w:rsid w:val="005C7015"/>
    <w:rsid w:val="005D5AC4"/>
    <w:rsid w:val="00626448"/>
    <w:rsid w:val="006279FE"/>
    <w:rsid w:val="00663775"/>
    <w:rsid w:val="006665C8"/>
    <w:rsid w:val="006677C3"/>
    <w:rsid w:val="0067471A"/>
    <w:rsid w:val="006925DF"/>
    <w:rsid w:val="00692A75"/>
    <w:rsid w:val="00695E2E"/>
    <w:rsid w:val="00697DFA"/>
    <w:rsid w:val="006B04F1"/>
    <w:rsid w:val="006B05D9"/>
    <w:rsid w:val="006B3432"/>
    <w:rsid w:val="006B569A"/>
    <w:rsid w:val="006B7DE0"/>
    <w:rsid w:val="006C2772"/>
    <w:rsid w:val="006E119E"/>
    <w:rsid w:val="006F702A"/>
    <w:rsid w:val="006F7D39"/>
    <w:rsid w:val="00712729"/>
    <w:rsid w:val="007154AB"/>
    <w:rsid w:val="00720849"/>
    <w:rsid w:val="00740E2F"/>
    <w:rsid w:val="00743B86"/>
    <w:rsid w:val="00747F47"/>
    <w:rsid w:val="0075489A"/>
    <w:rsid w:val="00756C99"/>
    <w:rsid w:val="00766D42"/>
    <w:rsid w:val="007863A0"/>
    <w:rsid w:val="0079091D"/>
    <w:rsid w:val="007C2857"/>
    <w:rsid w:val="007E3AEE"/>
    <w:rsid w:val="007E5523"/>
    <w:rsid w:val="007E72A1"/>
    <w:rsid w:val="007F79FB"/>
    <w:rsid w:val="00802A23"/>
    <w:rsid w:val="00811E1F"/>
    <w:rsid w:val="0081709D"/>
    <w:rsid w:val="008261B3"/>
    <w:rsid w:val="00831FD0"/>
    <w:rsid w:val="008401C4"/>
    <w:rsid w:val="00841E8E"/>
    <w:rsid w:val="0084501A"/>
    <w:rsid w:val="00850AD5"/>
    <w:rsid w:val="008523F9"/>
    <w:rsid w:val="00854B95"/>
    <w:rsid w:val="00857D35"/>
    <w:rsid w:val="008647AB"/>
    <w:rsid w:val="008651A3"/>
    <w:rsid w:val="00866BC5"/>
    <w:rsid w:val="0087304E"/>
    <w:rsid w:val="0087343F"/>
    <w:rsid w:val="00883F4D"/>
    <w:rsid w:val="008845F2"/>
    <w:rsid w:val="00897F8E"/>
    <w:rsid w:val="008B3D06"/>
    <w:rsid w:val="00911DEF"/>
    <w:rsid w:val="00921A7E"/>
    <w:rsid w:val="00926C73"/>
    <w:rsid w:val="00927533"/>
    <w:rsid w:val="00936086"/>
    <w:rsid w:val="00942ECA"/>
    <w:rsid w:val="009630C9"/>
    <w:rsid w:val="00965512"/>
    <w:rsid w:val="009809C3"/>
    <w:rsid w:val="00990CD8"/>
    <w:rsid w:val="00991E03"/>
    <w:rsid w:val="009947E1"/>
    <w:rsid w:val="009A42E2"/>
    <w:rsid w:val="009B3FDA"/>
    <w:rsid w:val="009C659C"/>
    <w:rsid w:val="009D6CA4"/>
    <w:rsid w:val="009D73B4"/>
    <w:rsid w:val="00A01CFF"/>
    <w:rsid w:val="00A02593"/>
    <w:rsid w:val="00A07B04"/>
    <w:rsid w:val="00A101F8"/>
    <w:rsid w:val="00A50849"/>
    <w:rsid w:val="00A55237"/>
    <w:rsid w:val="00A601F8"/>
    <w:rsid w:val="00A72B0B"/>
    <w:rsid w:val="00A81BF4"/>
    <w:rsid w:val="00A82ACB"/>
    <w:rsid w:val="00A964A2"/>
    <w:rsid w:val="00AA14DB"/>
    <w:rsid w:val="00AA42A9"/>
    <w:rsid w:val="00AA479B"/>
    <w:rsid w:val="00AB248D"/>
    <w:rsid w:val="00AB41D1"/>
    <w:rsid w:val="00AC6296"/>
    <w:rsid w:val="00AE23E4"/>
    <w:rsid w:val="00AE3D82"/>
    <w:rsid w:val="00AE51C5"/>
    <w:rsid w:val="00AF1FCC"/>
    <w:rsid w:val="00B12E49"/>
    <w:rsid w:val="00B175B3"/>
    <w:rsid w:val="00B217E0"/>
    <w:rsid w:val="00B266D2"/>
    <w:rsid w:val="00B26801"/>
    <w:rsid w:val="00B26CCC"/>
    <w:rsid w:val="00B32EDF"/>
    <w:rsid w:val="00B71D41"/>
    <w:rsid w:val="00B75D95"/>
    <w:rsid w:val="00BB250E"/>
    <w:rsid w:val="00BC2BDB"/>
    <w:rsid w:val="00BD0DF2"/>
    <w:rsid w:val="00BE13DF"/>
    <w:rsid w:val="00BE300C"/>
    <w:rsid w:val="00BE7B0C"/>
    <w:rsid w:val="00C05D82"/>
    <w:rsid w:val="00C068D1"/>
    <w:rsid w:val="00C1093E"/>
    <w:rsid w:val="00C209AC"/>
    <w:rsid w:val="00C241B3"/>
    <w:rsid w:val="00C36D1A"/>
    <w:rsid w:val="00C36E41"/>
    <w:rsid w:val="00C435F0"/>
    <w:rsid w:val="00C43E68"/>
    <w:rsid w:val="00C8161E"/>
    <w:rsid w:val="00C842E6"/>
    <w:rsid w:val="00C87E3C"/>
    <w:rsid w:val="00CA386F"/>
    <w:rsid w:val="00CB52A7"/>
    <w:rsid w:val="00CB7FE9"/>
    <w:rsid w:val="00CC0EBC"/>
    <w:rsid w:val="00CC1C9C"/>
    <w:rsid w:val="00CD1B3B"/>
    <w:rsid w:val="00CE79AB"/>
    <w:rsid w:val="00CF2FCA"/>
    <w:rsid w:val="00D02ECE"/>
    <w:rsid w:val="00D3111E"/>
    <w:rsid w:val="00D3767E"/>
    <w:rsid w:val="00D464AD"/>
    <w:rsid w:val="00D528F8"/>
    <w:rsid w:val="00D60A53"/>
    <w:rsid w:val="00D62821"/>
    <w:rsid w:val="00DA1663"/>
    <w:rsid w:val="00DA18D5"/>
    <w:rsid w:val="00DA195E"/>
    <w:rsid w:val="00DB7A7F"/>
    <w:rsid w:val="00DC1D54"/>
    <w:rsid w:val="00DD7BEB"/>
    <w:rsid w:val="00DE0BE8"/>
    <w:rsid w:val="00DE13F4"/>
    <w:rsid w:val="00DE3425"/>
    <w:rsid w:val="00E0042D"/>
    <w:rsid w:val="00E1098D"/>
    <w:rsid w:val="00E13B7A"/>
    <w:rsid w:val="00E259A3"/>
    <w:rsid w:val="00E27A22"/>
    <w:rsid w:val="00E533EA"/>
    <w:rsid w:val="00E67C26"/>
    <w:rsid w:val="00E71693"/>
    <w:rsid w:val="00E73D87"/>
    <w:rsid w:val="00E960B8"/>
    <w:rsid w:val="00EA1DDB"/>
    <w:rsid w:val="00EB72F9"/>
    <w:rsid w:val="00EC5FCC"/>
    <w:rsid w:val="00EC7EE7"/>
    <w:rsid w:val="00ED62E3"/>
    <w:rsid w:val="00EE78FE"/>
    <w:rsid w:val="00F00A17"/>
    <w:rsid w:val="00F010C6"/>
    <w:rsid w:val="00F07A15"/>
    <w:rsid w:val="00F13B24"/>
    <w:rsid w:val="00F214FF"/>
    <w:rsid w:val="00F36966"/>
    <w:rsid w:val="00F5376E"/>
    <w:rsid w:val="00F544C6"/>
    <w:rsid w:val="00F651AF"/>
    <w:rsid w:val="00F65DC1"/>
    <w:rsid w:val="00F75299"/>
    <w:rsid w:val="00F75620"/>
    <w:rsid w:val="00FA571C"/>
    <w:rsid w:val="00FC01C0"/>
    <w:rsid w:val="00FC1853"/>
    <w:rsid w:val="00FC3EA6"/>
    <w:rsid w:val="00FC4328"/>
    <w:rsid w:val="00FD1E3B"/>
    <w:rsid w:val="00FD6881"/>
    <w:rsid w:val="00FE0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663"/>
    <w:pPr>
      <w:spacing w:after="0"/>
    </w:pPr>
  </w:style>
  <w:style w:type="paragraph" w:styleId="Heading1">
    <w:name w:val="heading 1"/>
    <w:basedOn w:val="Normal"/>
    <w:next w:val="Normal"/>
    <w:link w:val="Heading1Char"/>
    <w:uiPriority w:val="9"/>
    <w:qFormat/>
    <w:rsid w:val="00D464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E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EA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DEA"/>
    <w:rPr>
      <w:color w:val="0000FF" w:themeColor="hyperlink"/>
      <w:u w:val="single"/>
    </w:rPr>
  </w:style>
  <w:style w:type="paragraph" w:styleId="FootnoteText">
    <w:name w:val="footnote text"/>
    <w:basedOn w:val="Normal"/>
    <w:link w:val="FootnoteTextChar"/>
    <w:uiPriority w:val="99"/>
    <w:unhideWhenUsed/>
    <w:rsid w:val="00026DEA"/>
    <w:pPr>
      <w:spacing w:line="240" w:lineRule="auto"/>
    </w:pPr>
    <w:rPr>
      <w:sz w:val="20"/>
      <w:szCs w:val="20"/>
    </w:rPr>
  </w:style>
  <w:style w:type="character" w:customStyle="1" w:styleId="FootnoteTextChar">
    <w:name w:val="Footnote Text Char"/>
    <w:basedOn w:val="DefaultParagraphFont"/>
    <w:link w:val="FootnoteText"/>
    <w:uiPriority w:val="99"/>
    <w:rsid w:val="00026DEA"/>
    <w:rPr>
      <w:sz w:val="20"/>
      <w:szCs w:val="20"/>
    </w:rPr>
  </w:style>
  <w:style w:type="character" w:styleId="FootnoteReference">
    <w:name w:val="footnote reference"/>
    <w:basedOn w:val="DefaultParagraphFont"/>
    <w:uiPriority w:val="99"/>
    <w:semiHidden/>
    <w:unhideWhenUsed/>
    <w:rsid w:val="00026DEA"/>
    <w:rPr>
      <w:vertAlign w:val="superscript"/>
    </w:rPr>
  </w:style>
  <w:style w:type="table" w:customStyle="1" w:styleId="MediumShading1-Accent12">
    <w:name w:val="Medium Shading 1 - Accent 12"/>
    <w:basedOn w:val="TableNormal"/>
    <w:uiPriority w:val="63"/>
    <w:rsid w:val="00CF2F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811E1F"/>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811E1F"/>
    <w:pPr>
      <w:spacing w:after="0" w:line="240" w:lineRule="auto"/>
    </w:pPr>
  </w:style>
  <w:style w:type="table" w:styleId="MediumShading1-Accent5">
    <w:name w:val="Medium Shading 1 Accent 5"/>
    <w:basedOn w:val="TableNormal"/>
    <w:uiPriority w:val="63"/>
    <w:rsid w:val="00811E1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NoSpacingChar">
    <w:name w:val="No Spacing Char"/>
    <w:basedOn w:val="DefaultParagraphFont"/>
    <w:link w:val="NoSpacing"/>
    <w:uiPriority w:val="1"/>
    <w:rsid w:val="00811E1F"/>
  </w:style>
  <w:style w:type="paragraph" w:styleId="Header">
    <w:name w:val="header"/>
    <w:basedOn w:val="Normal"/>
    <w:link w:val="HeaderChar"/>
    <w:uiPriority w:val="99"/>
    <w:unhideWhenUsed/>
    <w:rsid w:val="00DC1D54"/>
    <w:pPr>
      <w:tabs>
        <w:tab w:val="center" w:pos="4680"/>
        <w:tab w:val="right" w:pos="9360"/>
      </w:tabs>
      <w:spacing w:line="240" w:lineRule="auto"/>
    </w:pPr>
  </w:style>
  <w:style w:type="character" w:customStyle="1" w:styleId="HeaderChar">
    <w:name w:val="Header Char"/>
    <w:basedOn w:val="DefaultParagraphFont"/>
    <w:link w:val="Header"/>
    <w:uiPriority w:val="99"/>
    <w:rsid w:val="00DC1D54"/>
  </w:style>
  <w:style w:type="paragraph" w:styleId="Footer">
    <w:name w:val="footer"/>
    <w:basedOn w:val="Normal"/>
    <w:link w:val="FooterChar"/>
    <w:uiPriority w:val="99"/>
    <w:unhideWhenUsed/>
    <w:rsid w:val="00DC1D54"/>
    <w:pPr>
      <w:tabs>
        <w:tab w:val="center" w:pos="4680"/>
        <w:tab w:val="right" w:pos="9360"/>
      </w:tabs>
      <w:spacing w:line="240" w:lineRule="auto"/>
    </w:pPr>
  </w:style>
  <w:style w:type="character" w:customStyle="1" w:styleId="FooterChar">
    <w:name w:val="Footer Char"/>
    <w:basedOn w:val="DefaultParagraphFont"/>
    <w:link w:val="Footer"/>
    <w:uiPriority w:val="99"/>
    <w:rsid w:val="00DC1D54"/>
  </w:style>
  <w:style w:type="table" w:styleId="MediumShading1-Accent4">
    <w:name w:val="Medium Shading 1 Accent 4"/>
    <w:basedOn w:val="TableNormal"/>
    <w:uiPriority w:val="63"/>
    <w:rsid w:val="0071272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464AD"/>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315853"/>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523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F9"/>
    <w:rPr>
      <w:rFonts w:ascii="Tahoma" w:hAnsi="Tahoma" w:cs="Tahoma"/>
      <w:sz w:val="16"/>
      <w:szCs w:val="16"/>
    </w:rPr>
  </w:style>
  <w:style w:type="table" w:styleId="MediumShading1-Accent2">
    <w:name w:val="Medium Shading 1 Accent 2"/>
    <w:basedOn w:val="TableNormal"/>
    <w:uiPriority w:val="63"/>
    <w:rsid w:val="00581C82"/>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rsid w:val="00FC3EA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A479B"/>
    <w:pPr>
      <w:ind w:left="720"/>
      <w:contextualSpacing/>
    </w:pPr>
  </w:style>
  <w:style w:type="character" w:styleId="CommentReference">
    <w:name w:val="annotation reference"/>
    <w:basedOn w:val="DefaultParagraphFont"/>
    <w:uiPriority w:val="99"/>
    <w:semiHidden/>
    <w:unhideWhenUsed/>
    <w:rsid w:val="002D3D3A"/>
    <w:rPr>
      <w:sz w:val="16"/>
      <w:szCs w:val="16"/>
    </w:rPr>
  </w:style>
  <w:style w:type="paragraph" w:styleId="CommentText">
    <w:name w:val="annotation text"/>
    <w:basedOn w:val="Normal"/>
    <w:link w:val="CommentTextChar"/>
    <w:uiPriority w:val="99"/>
    <w:semiHidden/>
    <w:unhideWhenUsed/>
    <w:rsid w:val="002D3D3A"/>
    <w:pPr>
      <w:spacing w:line="240" w:lineRule="auto"/>
    </w:pPr>
    <w:rPr>
      <w:sz w:val="20"/>
      <w:szCs w:val="20"/>
    </w:rPr>
  </w:style>
  <w:style w:type="character" w:customStyle="1" w:styleId="CommentTextChar">
    <w:name w:val="Comment Text Char"/>
    <w:basedOn w:val="DefaultParagraphFont"/>
    <w:link w:val="CommentText"/>
    <w:uiPriority w:val="99"/>
    <w:semiHidden/>
    <w:rsid w:val="002D3D3A"/>
    <w:rPr>
      <w:sz w:val="20"/>
      <w:szCs w:val="20"/>
    </w:rPr>
  </w:style>
  <w:style w:type="paragraph" w:styleId="CommentSubject">
    <w:name w:val="annotation subject"/>
    <w:basedOn w:val="CommentText"/>
    <w:next w:val="CommentText"/>
    <w:link w:val="CommentSubjectChar"/>
    <w:uiPriority w:val="99"/>
    <w:semiHidden/>
    <w:unhideWhenUsed/>
    <w:rsid w:val="002D3D3A"/>
    <w:rPr>
      <w:b/>
      <w:bCs/>
    </w:rPr>
  </w:style>
  <w:style w:type="character" w:customStyle="1" w:styleId="CommentSubjectChar">
    <w:name w:val="Comment Subject Char"/>
    <w:basedOn w:val="CommentTextChar"/>
    <w:link w:val="CommentSubject"/>
    <w:uiPriority w:val="99"/>
    <w:semiHidden/>
    <w:rsid w:val="002D3D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663"/>
    <w:pPr>
      <w:spacing w:after="0"/>
    </w:pPr>
  </w:style>
  <w:style w:type="paragraph" w:styleId="Heading1">
    <w:name w:val="heading 1"/>
    <w:basedOn w:val="Normal"/>
    <w:next w:val="Normal"/>
    <w:link w:val="Heading1Char"/>
    <w:uiPriority w:val="9"/>
    <w:qFormat/>
    <w:rsid w:val="00D464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E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EA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DEA"/>
    <w:rPr>
      <w:color w:val="0000FF" w:themeColor="hyperlink"/>
      <w:u w:val="single"/>
    </w:rPr>
  </w:style>
  <w:style w:type="paragraph" w:styleId="FootnoteText">
    <w:name w:val="footnote text"/>
    <w:basedOn w:val="Normal"/>
    <w:link w:val="FootnoteTextChar"/>
    <w:uiPriority w:val="99"/>
    <w:unhideWhenUsed/>
    <w:rsid w:val="00026DEA"/>
    <w:pPr>
      <w:spacing w:line="240" w:lineRule="auto"/>
    </w:pPr>
    <w:rPr>
      <w:sz w:val="20"/>
      <w:szCs w:val="20"/>
    </w:rPr>
  </w:style>
  <w:style w:type="character" w:customStyle="1" w:styleId="FootnoteTextChar">
    <w:name w:val="Footnote Text Char"/>
    <w:basedOn w:val="DefaultParagraphFont"/>
    <w:link w:val="FootnoteText"/>
    <w:uiPriority w:val="99"/>
    <w:rsid w:val="00026DEA"/>
    <w:rPr>
      <w:sz w:val="20"/>
      <w:szCs w:val="20"/>
    </w:rPr>
  </w:style>
  <w:style w:type="character" w:styleId="FootnoteReference">
    <w:name w:val="footnote reference"/>
    <w:basedOn w:val="DefaultParagraphFont"/>
    <w:uiPriority w:val="99"/>
    <w:semiHidden/>
    <w:unhideWhenUsed/>
    <w:rsid w:val="00026DEA"/>
    <w:rPr>
      <w:vertAlign w:val="superscript"/>
    </w:rPr>
  </w:style>
  <w:style w:type="table" w:customStyle="1" w:styleId="MediumShading1-Accent12">
    <w:name w:val="Medium Shading 1 - Accent 12"/>
    <w:basedOn w:val="TableNormal"/>
    <w:uiPriority w:val="63"/>
    <w:rsid w:val="00CF2F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811E1F"/>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811E1F"/>
    <w:pPr>
      <w:spacing w:after="0" w:line="240" w:lineRule="auto"/>
    </w:pPr>
  </w:style>
  <w:style w:type="table" w:styleId="MediumShading1-Accent5">
    <w:name w:val="Medium Shading 1 Accent 5"/>
    <w:basedOn w:val="TableNormal"/>
    <w:uiPriority w:val="63"/>
    <w:rsid w:val="00811E1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NoSpacingChar">
    <w:name w:val="No Spacing Char"/>
    <w:basedOn w:val="DefaultParagraphFont"/>
    <w:link w:val="NoSpacing"/>
    <w:uiPriority w:val="1"/>
    <w:rsid w:val="00811E1F"/>
  </w:style>
  <w:style w:type="paragraph" w:styleId="Header">
    <w:name w:val="header"/>
    <w:basedOn w:val="Normal"/>
    <w:link w:val="HeaderChar"/>
    <w:uiPriority w:val="99"/>
    <w:unhideWhenUsed/>
    <w:rsid w:val="00DC1D54"/>
    <w:pPr>
      <w:tabs>
        <w:tab w:val="center" w:pos="4680"/>
        <w:tab w:val="right" w:pos="9360"/>
      </w:tabs>
      <w:spacing w:line="240" w:lineRule="auto"/>
    </w:pPr>
  </w:style>
  <w:style w:type="character" w:customStyle="1" w:styleId="HeaderChar">
    <w:name w:val="Header Char"/>
    <w:basedOn w:val="DefaultParagraphFont"/>
    <w:link w:val="Header"/>
    <w:uiPriority w:val="99"/>
    <w:rsid w:val="00DC1D54"/>
  </w:style>
  <w:style w:type="paragraph" w:styleId="Footer">
    <w:name w:val="footer"/>
    <w:basedOn w:val="Normal"/>
    <w:link w:val="FooterChar"/>
    <w:uiPriority w:val="99"/>
    <w:unhideWhenUsed/>
    <w:rsid w:val="00DC1D54"/>
    <w:pPr>
      <w:tabs>
        <w:tab w:val="center" w:pos="4680"/>
        <w:tab w:val="right" w:pos="9360"/>
      </w:tabs>
      <w:spacing w:line="240" w:lineRule="auto"/>
    </w:pPr>
  </w:style>
  <w:style w:type="character" w:customStyle="1" w:styleId="FooterChar">
    <w:name w:val="Footer Char"/>
    <w:basedOn w:val="DefaultParagraphFont"/>
    <w:link w:val="Footer"/>
    <w:uiPriority w:val="99"/>
    <w:rsid w:val="00DC1D54"/>
  </w:style>
  <w:style w:type="table" w:styleId="MediumShading1-Accent4">
    <w:name w:val="Medium Shading 1 Accent 4"/>
    <w:basedOn w:val="TableNormal"/>
    <w:uiPriority w:val="63"/>
    <w:rsid w:val="0071272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464AD"/>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315853"/>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523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F9"/>
    <w:rPr>
      <w:rFonts w:ascii="Tahoma" w:hAnsi="Tahoma" w:cs="Tahoma"/>
      <w:sz w:val="16"/>
      <w:szCs w:val="16"/>
    </w:rPr>
  </w:style>
  <w:style w:type="table" w:styleId="MediumShading1-Accent2">
    <w:name w:val="Medium Shading 1 Accent 2"/>
    <w:basedOn w:val="TableNormal"/>
    <w:uiPriority w:val="63"/>
    <w:rsid w:val="00581C82"/>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rsid w:val="00FC3EA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A479B"/>
    <w:pPr>
      <w:ind w:left="720"/>
      <w:contextualSpacing/>
    </w:pPr>
  </w:style>
  <w:style w:type="character" w:styleId="CommentReference">
    <w:name w:val="annotation reference"/>
    <w:basedOn w:val="DefaultParagraphFont"/>
    <w:uiPriority w:val="99"/>
    <w:semiHidden/>
    <w:unhideWhenUsed/>
    <w:rsid w:val="002D3D3A"/>
    <w:rPr>
      <w:sz w:val="16"/>
      <w:szCs w:val="16"/>
    </w:rPr>
  </w:style>
  <w:style w:type="paragraph" w:styleId="CommentText">
    <w:name w:val="annotation text"/>
    <w:basedOn w:val="Normal"/>
    <w:link w:val="CommentTextChar"/>
    <w:uiPriority w:val="99"/>
    <w:semiHidden/>
    <w:unhideWhenUsed/>
    <w:rsid w:val="002D3D3A"/>
    <w:pPr>
      <w:spacing w:line="240" w:lineRule="auto"/>
    </w:pPr>
    <w:rPr>
      <w:sz w:val="20"/>
      <w:szCs w:val="20"/>
    </w:rPr>
  </w:style>
  <w:style w:type="character" w:customStyle="1" w:styleId="CommentTextChar">
    <w:name w:val="Comment Text Char"/>
    <w:basedOn w:val="DefaultParagraphFont"/>
    <w:link w:val="CommentText"/>
    <w:uiPriority w:val="99"/>
    <w:semiHidden/>
    <w:rsid w:val="002D3D3A"/>
    <w:rPr>
      <w:sz w:val="20"/>
      <w:szCs w:val="20"/>
    </w:rPr>
  </w:style>
  <w:style w:type="paragraph" w:styleId="CommentSubject">
    <w:name w:val="annotation subject"/>
    <w:basedOn w:val="CommentText"/>
    <w:next w:val="CommentText"/>
    <w:link w:val="CommentSubjectChar"/>
    <w:uiPriority w:val="99"/>
    <w:semiHidden/>
    <w:unhideWhenUsed/>
    <w:rsid w:val="002D3D3A"/>
    <w:rPr>
      <w:b/>
      <w:bCs/>
    </w:rPr>
  </w:style>
  <w:style w:type="character" w:customStyle="1" w:styleId="CommentSubjectChar">
    <w:name w:val="Comment Subject Char"/>
    <w:basedOn w:val="CommentTextChar"/>
    <w:link w:val="CommentSubject"/>
    <w:uiPriority w:val="99"/>
    <w:semiHidden/>
    <w:rsid w:val="002D3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2264">
      <w:bodyDiv w:val="1"/>
      <w:marLeft w:val="0"/>
      <w:marRight w:val="0"/>
      <w:marTop w:val="0"/>
      <w:marBottom w:val="0"/>
      <w:divBdr>
        <w:top w:val="none" w:sz="0" w:space="0" w:color="auto"/>
        <w:left w:val="none" w:sz="0" w:space="0" w:color="auto"/>
        <w:bottom w:val="none" w:sz="0" w:space="0" w:color="auto"/>
        <w:right w:val="none" w:sz="0" w:space="0" w:color="auto"/>
      </w:divBdr>
    </w:div>
    <w:div w:id="2709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13.xm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nreca.coop/about-electric-cooperatives/co-op-facts-fig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embeddings/oleObject8.bin"/></Relationships>
</file>

<file path=word/charts/_rels/chart13.xml.rels><?xml version="1.0" encoding="UTF-8" standalone="yes"?>
<Relationships xmlns="http://schemas.openxmlformats.org/package/2006/relationships"><Relationship Id="rId2" Type="http://schemas.openxmlformats.org/officeDocument/2006/relationships/oleObject" Target="file:///C:\Users\ScottN\Desktop\Projects\Consulting\NRECA\Results\NRECA%20results.xlsx" TargetMode="External"/><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ScottN\Desktop\Projects\Consulting\NRECA\Results\NRECA%20results.xlsx" TargetMode="External"/><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ScottN\Desktop\Projects\Consulting\NRECA\Results\NRECA%20results.xlsx" TargetMode="External"/><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ScottN\Desktop\Projects\Consulting\NRECA\Results\NRECA%20results.xlsx" TargetMode="External"/><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embeddings/oleObject10.bin"/></Relationships>
</file>

<file path=word/charts/_rels/chart19.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embeddings/oleObject12.bin"/></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2" Type="http://schemas.openxmlformats.org/officeDocument/2006/relationships/oleObject" Target="file:///C:\Users\ScottN\Desktop\Projects\Consulting\NRECA\Results\NRECA%20results.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cottN\Desktop\Projects\Consulting\NRECA\Results\NRECA%20results.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ScottN\Desktop\Projects\Consulting\NRECA\Results\NRECA%20results.xlsx"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ScottN\Desktop\Projects\Consulting\NRECA\Results\NRECA%20results.xlsx" TargetMode="External"/><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Co-op Nation (and vicinity)</a:t>
            </a:r>
          </a:p>
        </c:rich>
      </c:tx>
      <c:layout>
        <c:manualLayout>
          <c:xMode val="edge"/>
          <c:yMode val="edge"/>
          <c:x val="0.26830835379833101"/>
          <c:y val="4.6296296296296301E-2"/>
        </c:manualLayout>
      </c:layout>
      <c:overlay val="0"/>
    </c:title>
    <c:autoTitleDeleted val="0"/>
    <c:plotArea>
      <c:layout>
        <c:manualLayout>
          <c:layoutTarget val="inner"/>
          <c:xMode val="edge"/>
          <c:yMode val="edge"/>
          <c:x val="0.35215626487465301"/>
          <c:y val="0.22570610965296001"/>
          <c:w val="0.60147749122248795"/>
          <c:h val="0.65831401283172897"/>
        </c:manualLayout>
      </c:layout>
      <c:lineChart>
        <c:grouping val="standard"/>
        <c:varyColors val="0"/>
        <c:ser>
          <c:idx val="2"/>
          <c:order val="0"/>
          <c:tx>
            <c:strRef>
              <c:f>EMP!$B$16</c:f>
              <c:strCache>
                <c:ptCount val="1"/>
                <c:pt idx="0">
                  <c:v>10% (+)</c:v>
                </c:pt>
              </c:strCache>
            </c:strRef>
          </c:tx>
          <c:spPr>
            <a:ln>
              <a:solidFill>
                <a:srgbClr val="C00000"/>
              </a:solidFill>
            </a:ln>
          </c:spPr>
          <c:marker>
            <c:symbol val="none"/>
          </c:marker>
          <c:cat>
            <c:numRef>
              <c:f>EMP!$C$13:$AB$13</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EMP!$C$16:$AB$16</c:f>
              <c:numCache>
                <c:formatCode>General</c:formatCode>
                <c:ptCount val="26"/>
                <c:pt idx="0">
                  <c:v>0</c:v>
                </c:pt>
                <c:pt idx="1">
                  <c:v>-232309.5238043851</c:v>
                </c:pt>
                <c:pt idx="2">
                  <c:v>-305946.20983455959</c:v>
                </c:pt>
                <c:pt idx="3">
                  <c:v>-377547.87297193002</c:v>
                </c:pt>
                <c:pt idx="4">
                  <c:v>-442300.75783159962</c:v>
                </c:pt>
                <c:pt idx="5">
                  <c:v>-497431.86176358449</c:v>
                </c:pt>
                <c:pt idx="6">
                  <c:v>-498903.03821207728</c:v>
                </c:pt>
                <c:pt idx="7">
                  <c:v>-484927.14983590081</c:v>
                </c:pt>
                <c:pt idx="8">
                  <c:v>-467528.03606152511</c:v>
                </c:pt>
                <c:pt idx="9">
                  <c:v>-448299.46432002698</c:v>
                </c:pt>
                <c:pt idx="10">
                  <c:v>-428971.70596388</c:v>
                </c:pt>
                <c:pt idx="11">
                  <c:v>-407104.7913204988</c:v>
                </c:pt>
                <c:pt idx="12">
                  <c:v>-387035.91459348582</c:v>
                </c:pt>
                <c:pt idx="13">
                  <c:v>-369768.45321334829</c:v>
                </c:pt>
                <c:pt idx="14">
                  <c:v>-354512.48448529112</c:v>
                </c:pt>
                <c:pt idx="15">
                  <c:v>-341139.6443198949</c:v>
                </c:pt>
                <c:pt idx="16">
                  <c:v>-330544.76010254322</c:v>
                </c:pt>
                <c:pt idx="17">
                  <c:v>-321186.92285703082</c:v>
                </c:pt>
                <c:pt idx="18">
                  <c:v>-313611.30645834783</c:v>
                </c:pt>
                <c:pt idx="19">
                  <c:v>-306664.33517415571</c:v>
                </c:pt>
                <c:pt idx="20">
                  <c:v>-300117.78036968922</c:v>
                </c:pt>
                <c:pt idx="21">
                  <c:v>-293637.66181752703</c:v>
                </c:pt>
                <c:pt idx="22">
                  <c:v>-287205.79187856597</c:v>
                </c:pt>
                <c:pt idx="23">
                  <c:v>-281017.95741899218</c:v>
                </c:pt>
                <c:pt idx="24">
                  <c:v>-275011.3497487632</c:v>
                </c:pt>
                <c:pt idx="25">
                  <c:v>-269383.52177578979</c:v>
                </c:pt>
              </c:numCache>
            </c:numRef>
          </c:val>
          <c:smooth val="0"/>
        </c:ser>
        <c:ser>
          <c:idx val="3"/>
          <c:order val="1"/>
          <c:tx>
            <c:strRef>
              <c:f>EMP!$B$17</c:f>
              <c:strCache>
                <c:ptCount val="1"/>
                <c:pt idx="0">
                  <c:v>25% (+)</c:v>
                </c:pt>
              </c:strCache>
            </c:strRef>
          </c:tx>
          <c:spPr>
            <a:ln>
              <a:solidFill>
                <a:schemeClr val="tx1"/>
              </a:solidFill>
              <a:prstDash val="sysDash"/>
            </a:ln>
          </c:spPr>
          <c:marker>
            <c:symbol val="none"/>
          </c:marker>
          <c:cat>
            <c:numRef>
              <c:f>EMP!$C$13:$AB$13</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EMP!$C$17:$AB$17</c:f>
              <c:numCache>
                <c:formatCode>General</c:formatCode>
                <c:ptCount val="26"/>
                <c:pt idx="0">
                  <c:v>0</c:v>
                </c:pt>
                <c:pt idx="1">
                  <c:v>-310215.05071511149</c:v>
                </c:pt>
                <c:pt idx="2">
                  <c:v>-470996.54907997721</c:v>
                </c:pt>
                <c:pt idx="3">
                  <c:v>-627609.14268476644</c:v>
                </c:pt>
                <c:pt idx="4">
                  <c:v>-768233.35968373995</c:v>
                </c:pt>
                <c:pt idx="5">
                  <c:v>-886849.17276259302</c:v>
                </c:pt>
                <c:pt idx="6">
                  <c:v>-892708.74032182549</c:v>
                </c:pt>
                <c:pt idx="7">
                  <c:v>-864119.33219102758</c:v>
                </c:pt>
                <c:pt idx="8">
                  <c:v>-828221.26754178689</c:v>
                </c:pt>
                <c:pt idx="9">
                  <c:v>-786775.68233404926</c:v>
                </c:pt>
                <c:pt idx="10">
                  <c:v>-744479.4491663021</c:v>
                </c:pt>
                <c:pt idx="11">
                  <c:v>-700443.11631710001</c:v>
                </c:pt>
                <c:pt idx="12">
                  <c:v>-660126.47311627027</c:v>
                </c:pt>
                <c:pt idx="13">
                  <c:v>-624962.88619257708</c:v>
                </c:pt>
                <c:pt idx="14">
                  <c:v>-593758.60271534987</c:v>
                </c:pt>
                <c:pt idx="15">
                  <c:v>-566045.66466123704</c:v>
                </c:pt>
                <c:pt idx="16">
                  <c:v>-543415.0829851639</c:v>
                </c:pt>
                <c:pt idx="17">
                  <c:v>-523134.87395286461</c:v>
                </c:pt>
                <c:pt idx="18">
                  <c:v>-506767.99523575022</c:v>
                </c:pt>
                <c:pt idx="19">
                  <c:v>-492004.38193846511</c:v>
                </c:pt>
                <c:pt idx="20">
                  <c:v>-478386.71282606991</c:v>
                </c:pt>
                <c:pt idx="21">
                  <c:v>-465376.32506725221</c:v>
                </c:pt>
                <c:pt idx="22">
                  <c:v>-452828.79604916862</c:v>
                </c:pt>
                <c:pt idx="23">
                  <c:v>-440815.31809268083</c:v>
                </c:pt>
                <c:pt idx="24">
                  <c:v>-429305.87560901028</c:v>
                </c:pt>
                <c:pt idx="25">
                  <c:v>-418395.89970512257</c:v>
                </c:pt>
              </c:numCache>
            </c:numRef>
          </c:val>
          <c:smooth val="0"/>
        </c:ser>
        <c:dLbls>
          <c:showLegendKey val="0"/>
          <c:showVal val="0"/>
          <c:showCatName val="0"/>
          <c:showSerName val="0"/>
          <c:showPercent val="0"/>
          <c:showBubbleSize val="0"/>
        </c:dLbls>
        <c:marker val="1"/>
        <c:smooth val="0"/>
        <c:axId val="83311232"/>
        <c:axId val="83337600"/>
      </c:lineChart>
      <c:catAx>
        <c:axId val="83311232"/>
        <c:scaling>
          <c:orientation val="minMax"/>
        </c:scaling>
        <c:delete val="0"/>
        <c:axPos val="b"/>
        <c:numFmt formatCode="General" sourceLinked="1"/>
        <c:majorTickMark val="cross"/>
        <c:minorTickMark val="none"/>
        <c:tickLblPos val="low"/>
        <c:txPr>
          <a:bodyPr rot="-2700000"/>
          <a:lstStyle/>
          <a:p>
            <a:pPr>
              <a:defRPr/>
            </a:pPr>
            <a:endParaRPr lang="en-US"/>
          </a:p>
        </c:txPr>
        <c:crossAx val="83337600"/>
        <c:crosses val="autoZero"/>
        <c:auto val="1"/>
        <c:lblAlgn val="ctr"/>
        <c:lblOffset val="100"/>
        <c:tickLblSkip val="5"/>
        <c:noMultiLvlLbl val="0"/>
      </c:catAx>
      <c:valAx>
        <c:axId val="83337600"/>
        <c:scaling>
          <c:orientation val="minMax"/>
          <c:max val="0"/>
          <c:min val="-1400000"/>
        </c:scaling>
        <c:delete val="0"/>
        <c:axPos val="l"/>
        <c:majorGridlines/>
        <c:title>
          <c:tx>
            <c:rich>
              <a:bodyPr/>
              <a:lstStyle/>
              <a:p>
                <a:pPr>
                  <a:defRPr sz="1200"/>
                </a:pPr>
                <a:r>
                  <a:rPr lang="en-US" sz="1200"/>
                  <a:t>Jobs (over/under baseline)</a:t>
                </a:r>
              </a:p>
            </c:rich>
          </c:tx>
          <c:layout/>
          <c:overlay val="0"/>
        </c:title>
        <c:numFmt formatCode="#,##0" sourceLinked="0"/>
        <c:majorTickMark val="none"/>
        <c:minorTickMark val="none"/>
        <c:tickLblPos val="nextTo"/>
        <c:crossAx val="83311232"/>
        <c:crosses val="autoZero"/>
        <c:crossBetween val="between"/>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Rest of USA</a:t>
            </a:r>
          </a:p>
        </c:rich>
      </c:tx>
      <c:layout>
        <c:manualLayout>
          <c:xMode val="edge"/>
          <c:yMode val="edge"/>
          <c:x val="0.40586577200316998"/>
          <c:y val="2.4218939210462601E-2"/>
        </c:manualLayout>
      </c:layout>
      <c:overlay val="0"/>
    </c:title>
    <c:autoTitleDeleted val="0"/>
    <c:plotArea>
      <c:layout>
        <c:manualLayout>
          <c:layoutTarget val="inner"/>
          <c:xMode val="edge"/>
          <c:yMode val="edge"/>
          <c:x val="0.300876452943382"/>
          <c:y val="0.146359817156544"/>
          <c:w val="0.62198862869860505"/>
          <c:h val="0.65184771376166395"/>
        </c:manualLayout>
      </c:layout>
      <c:lineChart>
        <c:grouping val="standard"/>
        <c:varyColors val="0"/>
        <c:ser>
          <c:idx val="2"/>
          <c:order val="0"/>
          <c:tx>
            <c:strRef>
              <c:f>GDP!$B$23</c:f>
              <c:strCache>
                <c:ptCount val="1"/>
                <c:pt idx="0">
                  <c:v>10% (+)</c:v>
                </c:pt>
              </c:strCache>
            </c:strRef>
          </c:tx>
          <c:spPr>
            <a:ln>
              <a:solidFill>
                <a:srgbClr val="C00000"/>
              </a:solidFill>
            </a:ln>
          </c:spPr>
          <c:marker>
            <c:symbol val="none"/>
          </c:marker>
          <c:cat>
            <c:numRef>
              <c:f>GDP!$C$20:$AB$20</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GDP!$C$23:$AB$23</c:f>
              <c:numCache>
                <c:formatCode>General</c:formatCode>
                <c:ptCount val="26"/>
                <c:pt idx="0">
                  <c:v>0</c:v>
                </c:pt>
                <c:pt idx="1">
                  <c:v>-33194.085556230013</c:v>
                </c:pt>
                <c:pt idx="2">
                  <c:v>-46170.45200439576</c:v>
                </c:pt>
                <c:pt idx="3">
                  <c:v>-59606.336544804901</c:v>
                </c:pt>
                <c:pt idx="4">
                  <c:v>-72578.711725308007</c:v>
                </c:pt>
                <c:pt idx="5">
                  <c:v>-84656.065520050353</c:v>
                </c:pt>
                <c:pt idx="6">
                  <c:v>-87551.009773347789</c:v>
                </c:pt>
                <c:pt idx="7">
                  <c:v>-87689.80624189337</c:v>
                </c:pt>
                <c:pt idx="8">
                  <c:v>-87594.740238942308</c:v>
                </c:pt>
                <c:pt idx="9">
                  <c:v>-87049.163146862105</c:v>
                </c:pt>
                <c:pt idx="10">
                  <c:v>-86343.209964140493</c:v>
                </c:pt>
                <c:pt idx="11">
                  <c:v>-85123.927832389338</c:v>
                </c:pt>
                <c:pt idx="12">
                  <c:v>-84146.281287084843</c:v>
                </c:pt>
                <c:pt idx="13">
                  <c:v>-83623.623613907184</c:v>
                </c:pt>
                <c:pt idx="14">
                  <c:v>-83388.444515343304</c:v>
                </c:pt>
                <c:pt idx="15">
                  <c:v>-83401.276781449298</c:v>
                </c:pt>
                <c:pt idx="16">
                  <c:v>-83559.268027420039</c:v>
                </c:pt>
                <c:pt idx="17">
                  <c:v>-83898.886710051127</c:v>
                </c:pt>
                <c:pt idx="18">
                  <c:v>-84648.794074880934</c:v>
                </c:pt>
                <c:pt idx="19">
                  <c:v>-85513.714439164134</c:v>
                </c:pt>
                <c:pt idx="20">
                  <c:v>-86430.105115092025</c:v>
                </c:pt>
                <c:pt idx="21">
                  <c:v>-87301.336848154504</c:v>
                </c:pt>
                <c:pt idx="22">
                  <c:v>-88163.496596188968</c:v>
                </c:pt>
                <c:pt idx="23">
                  <c:v>-89015.899509117604</c:v>
                </c:pt>
                <c:pt idx="24">
                  <c:v>-89878.489374940735</c:v>
                </c:pt>
                <c:pt idx="25">
                  <c:v>-90752.583559759834</c:v>
                </c:pt>
              </c:numCache>
            </c:numRef>
          </c:val>
          <c:smooth val="0"/>
        </c:ser>
        <c:ser>
          <c:idx val="3"/>
          <c:order val="1"/>
          <c:tx>
            <c:strRef>
              <c:f>GDP!$B$24</c:f>
              <c:strCache>
                <c:ptCount val="1"/>
                <c:pt idx="0">
                  <c:v>25% (+)</c:v>
                </c:pt>
              </c:strCache>
            </c:strRef>
          </c:tx>
          <c:spPr>
            <a:ln>
              <a:solidFill>
                <a:schemeClr val="tx1"/>
              </a:solidFill>
              <a:prstDash val="sysDash"/>
            </a:ln>
          </c:spPr>
          <c:marker>
            <c:symbol val="none"/>
          </c:marker>
          <c:cat>
            <c:numRef>
              <c:f>GDP!$C$20:$AB$20</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GDP!$C$24:$AB$24</c:f>
              <c:numCache>
                <c:formatCode>General</c:formatCode>
                <c:ptCount val="26"/>
                <c:pt idx="0">
                  <c:v>0</c:v>
                </c:pt>
                <c:pt idx="1">
                  <c:v>-46648.937497851162</c:v>
                </c:pt>
                <c:pt idx="2">
                  <c:v>-75147.494357996708</c:v>
                </c:pt>
                <c:pt idx="3">
                  <c:v>-104442.5689553406</c:v>
                </c:pt>
                <c:pt idx="4">
                  <c:v>-132363.135557412</c:v>
                </c:pt>
                <c:pt idx="5">
                  <c:v>-157905.45582042701</c:v>
                </c:pt>
                <c:pt idx="6">
                  <c:v>-164976.9666750585</c:v>
                </c:pt>
                <c:pt idx="7">
                  <c:v>-165867.02986970419</c:v>
                </c:pt>
                <c:pt idx="8">
                  <c:v>-166160.70047505049</c:v>
                </c:pt>
                <c:pt idx="9">
                  <c:v>-165196.8468474572</c:v>
                </c:pt>
                <c:pt idx="10">
                  <c:v>-163737.7149583181</c:v>
                </c:pt>
                <c:pt idx="11">
                  <c:v>-161774.88322437531</c:v>
                </c:pt>
                <c:pt idx="12">
                  <c:v>-160281.48771429271</c:v>
                </c:pt>
                <c:pt idx="13">
                  <c:v>-159618.26958009231</c:v>
                </c:pt>
                <c:pt idx="14">
                  <c:v>-159492.7193632843</c:v>
                </c:pt>
                <c:pt idx="15">
                  <c:v>-159786.29770987431</c:v>
                </c:pt>
                <c:pt idx="16">
                  <c:v>-160232.32000406671</c:v>
                </c:pt>
                <c:pt idx="17">
                  <c:v>-160995.87057146509</c:v>
                </c:pt>
                <c:pt idx="18">
                  <c:v>-162668.87326468879</c:v>
                </c:pt>
                <c:pt idx="19">
                  <c:v>-164622.5599755742</c:v>
                </c:pt>
                <c:pt idx="20">
                  <c:v>-166733.63194807919</c:v>
                </c:pt>
                <c:pt idx="21">
                  <c:v>-168842.4241855838</c:v>
                </c:pt>
                <c:pt idx="22">
                  <c:v>-170976.09799223999</c:v>
                </c:pt>
                <c:pt idx="23">
                  <c:v>-173102.96592997</c:v>
                </c:pt>
                <c:pt idx="24">
                  <c:v>-175258.96487854171</c:v>
                </c:pt>
                <c:pt idx="25">
                  <c:v>-177408.39556866311</c:v>
                </c:pt>
              </c:numCache>
            </c:numRef>
          </c:val>
          <c:smooth val="0"/>
        </c:ser>
        <c:dLbls>
          <c:showLegendKey val="0"/>
          <c:showVal val="0"/>
          <c:showCatName val="0"/>
          <c:showSerName val="0"/>
          <c:showPercent val="0"/>
          <c:showBubbleSize val="0"/>
        </c:dLbls>
        <c:marker val="1"/>
        <c:smooth val="0"/>
        <c:axId val="86244736"/>
        <c:axId val="86267008"/>
      </c:lineChart>
      <c:catAx>
        <c:axId val="86244736"/>
        <c:scaling>
          <c:orientation val="minMax"/>
        </c:scaling>
        <c:delete val="0"/>
        <c:axPos val="b"/>
        <c:numFmt formatCode="General" sourceLinked="1"/>
        <c:majorTickMark val="cross"/>
        <c:minorTickMark val="none"/>
        <c:tickLblPos val="low"/>
        <c:txPr>
          <a:bodyPr rot="-2700000"/>
          <a:lstStyle/>
          <a:p>
            <a:pPr>
              <a:defRPr/>
            </a:pPr>
            <a:endParaRPr lang="en-US"/>
          </a:p>
        </c:txPr>
        <c:crossAx val="86267008"/>
        <c:crosses val="autoZero"/>
        <c:auto val="1"/>
        <c:lblAlgn val="ctr"/>
        <c:lblOffset val="100"/>
        <c:tickLblSkip val="5"/>
        <c:noMultiLvlLbl val="0"/>
      </c:catAx>
      <c:valAx>
        <c:axId val="86267008"/>
        <c:scaling>
          <c:orientation val="minMax"/>
        </c:scaling>
        <c:delete val="0"/>
        <c:axPos val="l"/>
        <c:majorGridlines/>
        <c:numFmt formatCode="&quot;$&quot;#,##0" sourceLinked="0"/>
        <c:majorTickMark val="none"/>
        <c:minorTickMark val="none"/>
        <c:tickLblPos val="nextTo"/>
        <c:crossAx val="86244736"/>
        <c:crosses val="autoZero"/>
        <c:crossBetween val="between"/>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Co-op </a:t>
            </a:r>
            <a:r>
              <a:rPr lang="en-US" dirty="0" smtClean="0"/>
              <a:t>Nation (and vicinity)</a:t>
            </a:r>
            <a:endParaRPr lang="en-US" dirty="0"/>
          </a:p>
        </c:rich>
      </c:tx>
      <c:layout>
        <c:manualLayout>
          <c:xMode val="edge"/>
          <c:yMode val="edge"/>
          <c:x val="0.29890869309049301"/>
          <c:y val="3.8240917782026797E-2"/>
        </c:manualLayout>
      </c:layout>
      <c:overlay val="0"/>
    </c:title>
    <c:autoTitleDeleted val="0"/>
    <c:plotArea>
      <c:layout>
        <c:manualLayout>
          <c:layoutTarget val="inner"/>
          <c:xMode val="edge"/>
          <c:yMode val="edge"/>
          <c:x val="0.31411207929769702"/>
          <c:y val="0.16611509126117099"/>
          <c:w val="0.63076362414289699"/>
          <c:h val="0.58724319563707805"/>
        </c:manualLayout>
      </c:layout>
      <c:lineChart>
        <c:grouping val="standard"/>
        <c:varyColors val="0"/>
        <c:ser>
          <c:idx val="2"/>
          <c:order val="0"/>
          <c:tx>
            <c:strRef>
              <c:f>'GDP %'!$C$16</c:f>
              <c:strCache>
                <c:ptCount val="1"/>
                <c:pt idx="0">
                  <c:v>10% (+)</c:v>
                </c:pt>
              </c:strCache>
            </c:strRef>
          </c:tx>
          <c:spPr>
            <a:ln>
              <a:solidFill>
                <a:srgbClr val="C00000"/>
              </a:solidFill>
            </a:ln>
          </c:spPr>
          <c:marker>
            <c:symbol val="none"/>
          </c:marker>
          <c:cat>
            <c:numRef>
              <c:f>'GDP %'!$D$13:$AC$13</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'GDP %'!$D$16:$AC$16</c:f>
              <c:numCache>
                <c:formatCode>0.00%</c:formatCode>
                <c:ptCount val="26"/>
                <c:pt idx="0">
                  <c:v>0</c:v>
                </c:pt>
                <c:pt idx="1">
                  <c:v>-3.7800000000000199E-3</c:v>
                </c:pt>
                <c:pt idx="2">
                  <c:v>-5.1450000000000003E-3</c:v>
                </c:pt>
                <c:pt idx="3">
                  <c:v>-6.5100000000000097E-3</c:v>
                </c:pt>
                <c:pt idx="4">
                  <c:v>-7.7700000000000304E-3</c:v>
                </c:pt>
                <c:pt idx="5">
                  <c:v>-8.8200000000000101E-3</c:v>
                </c:pt>
                <c:pt idx="6">
                  <c:v>-8.9250000000000301E-3</c:v>
                </c:pt>
                <c:pt idx="7">
                  <c:v>-8.8200000000000101E-3</c:v>
                </c:pt>
                <c:pt idx="8">
                  <c:v>-8.6099999999999996E-3</c:v>
                </c:pt>
                <c:pt idx="9">
                  <c:v>-8.2950000000000194E-3</c:v>
                </c:pt>
                <c:pt idx="10">
                  <c:v>-8.0850000000000193E-3</c:v>
                </c:pt>
                <c:pt idx="11">
                  <c:v>-7.7700000000000304E-3</c:v>
                </c:pt>
                <c:pt idx="12">
                  <c:v>-7.5599999999999999E-3</c:v>
                </c:pt>
                <c:pt idx="13">
                  <c:v>-7.3499999999999998E-3</c:v>
                </c:pt>
                <c:pt idx="14">
                  <c:v>-7.1399999999999996E-3</c:v>
                </c:pt>
                <c:pt idx="15">
                  <c:v>-7.0350000000000204E-3</c:v>
                </c:pt>
                <c:pt idx="16">
                  <c:v>-6.9300000000000299E-3</c:v>
                </c:pt>
                <c:pt idx="17">
                  <c:v>-6.8250000000000003E-3</c:v>
                </c:pt>
                <c:pt idx="18">
                  <c:v>-6.7200000000000098E-3</c:v>
                </c:pt>
                <c:pt idx="19">
                  <c:v>-6.6150000000000002E-3</c:v>
                </c:pt>
                <c:pt idx="20">
                  <c:v>-6.6150000000000002E-3</c:v>
                </c:pt>
                <c:pt idx="21">
                  <c:v>-6.5100000000000097E-3</c:v>
                </c:pt>
                <c:pt idx="22">
                  <c:v>-6.4050000000000201E-3</c:v>
                </c:pt>
                <c:pt idx="23">
                  <c:v>-6.4050000000000201E-3</c:v>
                </c:pt>
                <c:pt idx="24">
                  <c:v>-6.3000000000000096E-3</c:v>
                </c:pt>
                <c:pt idx="25">
                  <c:v>-6.3000000000000096E-3</c:v>
                </c:pt>
              </c:numCache>
            </c:numRef>
          </c:val>
          <c:smooth val="0"/>
        </c:ser>
        <c:ser>
          <c:idx val="3"/>
          <c:order val="1"/>
          <c:tx>
            <c:strRef>
              <c:f>'GDP %'!$C$17</c:f>
              <c:strCache>
                <c:ptCount val="1"/>
                <c:pt idx="0">
                  <c:v>25% (+)</c:v>
                </c:pt>
              </c:strCache>
            </c:strRef>
          </c:tx>
          <c:spPr>
            <a:ln>
              <a:solidFill>
                <a:srgbClr val="000000"/>
              </a:solidFill>
              <a:prstDash val="sysDash"/>
            </a:ln>
          </c:spPr>
          <c:marker>
            <c:symbol val="none"/>
          </c:marker>
          <c:cat>
            <c:numRef>
              <c:f>'GDP %'!$D$13:$AC$13</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'GDP %'!$D$17:$AC$17</c:f>
              <c:numCache>
                <c:formatCode>0.00%</c:formatCode>
                <c:ptCount val="26"/>
                <c:pt idx="0">
                  <c:v>0</c:v>
                </c:pt>
                <c:pt idx="1">
                  <c:v>-5.3550000000000004E-3</c:v>
                </c:pt>
                <c:pt idx="2">
                  <c:v>-8.3999999999999995E-3</c:v>
                </c:pt>
                <c:pt idx="3">
                  <c:v>-1.1339999999999999E-2</c:v>
                </c:pt>
                <c:pt idx="4">
                  <c:v>-1.4175E-2</c:v>
                </c:pt>
                <c:pt idx="5">
                  <c:v>-1.6590000000000001E-2</c:v>
                </c:pt>
                <c:pt idx="6">
                  <c:v>-1.6905000000000101E-2</c:v>
                </c:pt>
                <c:pt idx="7">
                  <c:v>-1.6590000000000001E-2</c:v>
                </c:pt>
                <c:pt idx="8">
                  <c:v>-1.6275000000000001E-2</c:v>
                </c:pt>
                <c:pt idx="9">
                  <c:v>-1.575E-2</c:v>
                </c:pt>
                <c:pt idx="10">
                  <c:v>-1.5225000000000001E-2</c:v>
                </c:pt>
                <c:pt idx="11">
                  <c:v>-1.47E-2</c:v>
                </c:pt>
                <c:pt idx="12">
                  <c:v>-1.42799999999999E-2</c:v>
                </c:pt>
                <c:pt idx="13">
                  <c:v>-1.38600000000001E-2</c:v>
                </c:pt>
                <c:pt idx="14">
                  <c:v>-1.3545E-2</c:v>
                </c:pt>
                <c:pt idx="15">
                  <c:v>-1.323E-2</c:v>
                </c:pt>
                <c:pt idx="16">
                  <c:v>-1.302E-2</c:v>
                </c:pt>
                <c:pt idx="17">
                  <c:v>-1.281E-2</c:v>
                </c:pt>
                <c:pt idx="18">
                  <c:v>-1.2704999999999999E-2</c:v>
                </c:pt>
                <c:pt idx="19">
                  <c:v>-1.2494999999999999E-2</c:v>
                </c:pt>
                <c:pt idx="20">
                  <c:v>-1.239E-2</c:v>
                </c:pt>
                <c:pt idx="21">
                  <c:v>-1.2285000000000001E-2</c:v>
                </c:pt>
                <c:pt idx="22">
                  <c:v>-1.218E-2</c:v>
                </c:pt>
                <c:pt idx="23">
                  <c:v>-1.218E-2</c:v>
                </c:pt>
                <c:pt idx="24">
                  <c:v>-1.2075000000000001E-2</c:v>
                </c:pt>
                <c:pt idx="25">
                  <c:v>-1.197E-2</c:v>
                </c:pt>
              </c:numCache>
            </c:numRef>
          </c:val>
          <c:smooth val="0"/>
        </c:ser>
        <c:dLbls>
          <c:showLegendKey val="0"/>
          <c:showVal val="0"/>
          <c:showCatName val="0"/>
          <c:showSerName val="0"/>
          <c:showPercent val="0"/>
          <c:showBubbleSize val="0"/>
        </c:dLbls>
        <c:marker val="1"/>
        <c:smooth val="0"/>
        <c:axId val="86296832"/>
        <c:axId val="86298624"/>
      </c:lineChart>
      <c:catAx>
        <c:axId val="86296832"/>
        <c:scaling>
          <c:orientation val="minMax"/>
        </c:scaling>
        <c:delete val="0"/>
        <c:axPos val="b"/>
        <c:numFmt formatCode="General" sourceLinked="1"/>
        <c:majorTickMark val="cross"/>
        <c:minorTickMark val="none"/>
        <c:tickLblPos val="low"/>
        <c:txPr>
          <a:bodyPr rot="-2580000"/>
          <a:lstStyle/>
          <a:p>
            <a:pPr>
              <a:defRPr/>
            </a:pPr>
            <a:endParaRPr lang="en-US"/>
          </a:p>
        </c:txPr>
        <c:crossAx val="86298624"/>
        <c:crosses val="autoZero"/>
        <c:auto val="1"/>
        <c:lblAlgn val="ctr"/>
        <c:lblOffset val="100"/>
        <c:noMultiLvlLbl val="0"/>
      </c:catAx>
      <c:valAx>
        <c:axId val="86298624"/>
        <c:scaling>
          <c:orientation val="minMax"/>
        </c:scaling>
        <c:delete val="0"/>
        <c:axPos val="l"/>
        <c:majorGridlines/>
        <c:title>
          <c:tx>
            <c:rich>
              <a:bodyPr/>
              <a:lstStyle/>
              <a:p>
                <a:pPr>
                  <a:defRPr sz="1200"/>
                </a:pPr>
                <a:r>
                  <a:rPr lang="en-US" sz="1200"/>
                  <a:t>Percentage</a:t>
                </a:r>
                <a:r>
                  <a:rPr lang="en-US" sz="1200" baseline="0"/>
                  <a:t> from baseline</a:t>
                </a:r>
                <a:endParaRPr lang="en-US" sz="1200"/>
              </a:p>
            </c:rich>
          </c:tx>
          <c:layout>
            <c:manualLayout>
              <c:xMode val="edge"/>
              <c:yMode val="edge"/>
              <c:x val="6.1315157989758499E-2"/>
              <c:y val="0.15656080155372501"/>
            </c:manualLayout>
          </c:layout>
          <c:overlay val="0"/>
        </c:title>
        <c:numFmt formatCode="0.0%" sourceLinked="0"/>
        <c:majorTickMark val="none"/>
        <c:minorTickMark val="none"/>
        <c:tickLblPos val="nextTo"/>
        <c:crossAx val="86296832"/>
        <c:crosses val="autoZero"/>
        <c:crossBetween val="between"/>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Rest</a:t>
            </a:r>
            <a:r>
              <a:rPr lang="en-US" baseline="0"/>
              <a:t> of USA</a:t>
            </a:r>
            <a:endParaRPr lang="en-US"/>
          </a:p>
        </c:rich>
      </c:tx>
      <c:layout>
        <c:manualLayout>
          <c:xMode val="edge"/>
          <c:yMode val="edge"/>
          <c:x val="0.44827810105156801"/>
          <c:y val="2.0250912513486801E-2"/>
        </c:manualLayout>
      </c:layout>
      <c:overlay val="0"/>
    </c:title>
    <c:autoTitleDeleted val="0"/>
    <c:plotArea>
      <c:layout>
        <c:manualLayout>
          <c:layoutTarget val="inner"/>
          <c:xMode val="edge"/>
          <c:yMode val="edge"/>
          <c:x val="0.31225946173826702"/>
          <c:y val="0.151864817918168"/>
          <c:w val="0.63248779459562399"/>
          <c:h val="0.60542565548143601"/>
        </c:manualLayout>
      </c:layout>
      <c:lineChart>
        <c:grouping val="standard"/>
        <c:varyColors val="0"/>
        <c:ser>
          <c:idx val="2"/>
          <c:order val="0"/>
          <c:tx>
            <c:strRef>
              <c:f>'GDP %'!$C$23</c:f>
              <c:strCache>
                <c:ptCount val="1"/>
                <c:pt idx="0">
                  <c:v>10% (+)</c:v>
                </c:pt>
              </c:strCache>
            </c:strRef>
          </c:tx>
          <c:spPr>
            <a:ln>
              <a:solidFill>
                <a:srgbClr val="C00000"/>
              </a:solidFill>
            </a:ln>
          </c:spPr>
          <c:marker>
            <c:symbol val="none"/>
          </c:marker>
          <c:cat>
            <c:numRef>
              <c:f>'GDP %'!$D$20:$AC$20</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'GDP %'!$D$23:$AC$23</c:f>
              <c:numCache>
                <c:formatCode>0.00%</c:formatCode>
                <c:ptCount val="26"/>
                <c:pt idx="0">
                  <c:v>0</c:v>
                </c:pt>
                <c:pt idx="1">
                  <c:v>-2.2800000000000099E-3</c:v>
                </c:pt>
                <c:pt idx="2">
                  <c:v>-3.1350000000000002E-3</c:v>
                </c:pt>
                <c:pt idx="3">
                  <c:v>-3.9899999999999996E-3</c:v>
                </c:pt>
                <c:pt idx="4">
                  <c:v>-4.7499999999999999E-3</c:v>
                </c:pt>
                <c:pt idx="5">
                  <c:v>-5.4149999999999997E-3</c:v>
                </c:pt>
                <c:pt idx="6">
                  <c:v>-5.5100000000000097E-3</c:v>
                </c:pt>
                <c:pt idx="7">
                  <c:v>-5.4149999999999997E-3</c:v>
                </c:pt>
                <c:pt idx="8">
                  <c:v>-5.2249999999999996E-3</c:v>
                </c:pt>
                <c:pt idx="9">
                  <c:v>-5.1300000000000104E-3</c:v>
                </c:pt>
                <c:pt idx="10">
                  <c:v>-5.03500000000001E-3</c:v>
                </c:pt>
                <c:pt idx="11">
                  <c:v>-4.8450000000000003E-3</c:v>
                </c:pt>
                <c:pt idx="12">
                  <c:v>-4.6550000000000003E-3</c:v>
                </c:pt>
                <c:pt idx="13">
                  <c:v>-4.5599999999999998E-3</c:v>
                </c:pt>
                <c:pt idx="14">
                  <c:v>-4.4650000000000002E-3</c:v>
                </c:pt>
                <c:pt idx="15">
                  <c:v>-4.3699999999999998E-3</c:v>
                </c:pt>
                <c:pt idx="16">
                  <c:v>-4.3699999999999998E-3</c:v>
                </c:pt>
                <c:pt idx="17">
                  <c:v>-4.2750000000000002E-3</c:v>
                </c:pt>
                <c:pt idx="18">
                  <c:v>-4.2750000000000002E-3</c:v>
                </c:pt>
                <c:pt idx="19">
                  <c:v>-4.2750000000000002E-3</c:v>
                </c:pt>
                <c:pt idx="20">
                  <c:v>-4.1799999999999997E-3</c:v>
                </c:pt>
                <c:pt idx="21">
                  <c:v>-4.1799999999999997E-3</c:v>
                </c:pt>
                <c:pt idx="22">
                  <c:v>-4.1799999999999997E-3</c:v>
                </c:pt>
                <c:pt idx="23">
                  <c:v>-4.1799999999999997E-3</c:v>
                </c:pt>
                <c:pt idx="24">
                  <c:v>-4.0850000000000096E-3</c:v>
                </c:pt>
                <c:pt idx="25">
                  <c:v>-4.0850000000000096E-3</c:v>
                </c:pt>
              </c:numCache>
            </c:numRef>
          </c:val>
          <c:smooth val="0"/>
        </c:ser>
        <c:ser>
          <c:idx val="3"/>
          <c:order val="1"/>
          <c:tx>
            <c:strRef>
              <c:f>'GDP %'!$C$24</c:f>
              <c:strCache>
                <c:ptCount val="1"/>
                <c:pt idx="0">
                  <c:v>25% (+)</c:v>
                </c:pt>
              </c:strCache>
            </c:strRef>
          </c:tx>
          <c:spPr>
            <a:ln>
              <a:solidFill>
                <a:srgbClr val="000000"/>
              </a:solidFill>
              <a:prstDash val="sysDash"/>
            </a:ln>
          </c:spPr>
          <c:marker>
            <c:symbol val="none"/>
          </c:marker>
          <c:cat>
            <c:numRef>
              <c:f>'GDP %'!$D$20:$AC$20</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'GDP %'!$D$24:$AC$24</c:f>
              <c:numCache>
                <c:formatCode>0.00%</c:formatCode>
                <c:ptCount val="26"/>
                <c:pt idx="0">
                  <c:v>0</c:v>
                </c:pt>
                <c:pt idx="1">
                  <c:v>-3.2300000000000102E-3</c:v>
                </c:pt>
                <c:pt idx="2">
                  <c:v>-5.1300000000000104E-3</c:v>
                </c:pt>
                <c:pt idx="3">
                  <c:v>-7.0300000000000197E-3</c:v>
                </c:pt>
                <c:pt idx="4">
                  <c:v>-8.6449999999999999E-3</c:v>
                </c:pt>
                <c:pt idx="5">
                  <c:v>-1.0165E-2</c:v>
                </c:pt>
                <c:pt idx="6">
                  <c:v>-1.0355E-2</c:v>
                </c:pt>
                <c:pt idx="7">
                  <c:v>-1.0165E-2</c:v>
                </c:pt>
                <c:pt idx="8">
                  <c:v>-1.0070000000000001E-2</c:v>
                </c:pt>
                <c:pt idx="9">
                  <c:v>-9.7850000000000194E-3</c:v>
                </c:pt>
                <c:pt idx="10">
                  <c:v>-9.5000000000000102E-3</c:v>
                </c:pt>
                <c:pt idx="11">
                  <c:v>-9.2149999999999992E-3</c:v>
                </c:pt>
                <c:pt idx="12">
                  <c:v>-9.0250000000000209E-3</c:v>
                </c:pt>
                <c:pt idx="13">
                  <c:v>-8.8350000000000407E-3</c:v>
                </c:pt>
                <c:pt idx="14">
                  <c:v>-8.6449999999999999E-3</c:v>
                </c:pt>
                <c:pt idx="15">
                  <c:v>-8.4550000000000597E-3</c:v>
                </c:pt>
                <c:pt idx="16">
                  <c:v>-8.3600000000000497E-3</c:v>
                </c:pt>
                <c:pt idx="17">
                  <c:v>-8.2650000000000102E-3</c:v>
                </c:pt>
                <c:pt idx="18">
                  <c:v>-8.2650000000000102E-3</c:v>
                </c:pt>
                <c:pt idx="19">
                  <c:v>-8.1700000000000193E-3</c:v>
                </c:pt>
                <c:pt idx="20">
                  <c:v>-8.1700000000000193E-3</c:v>
                </c:pt>
                <c:pt idx="21">
                  <c:v>-8.1700000000000193E-3</c:v>
                </c:pt>
                <c:pt idx="22">
                  <c:v>-8.0750000000000301E-3</c:v>
                </c:pt>
                <c:pt idx="23">
                  <c:v>-8.0750000000000301E-3</c:v>
                </c:pt>
                <c:pt idx="24">
                  <c:v>-8.0750000000000301E-3</c:v>
                </c:pt>
                <c:pt idx="25">
                  <c:v>-8.0750000000000301E-3</c:v>
                </c:pt>
              </c:numCache>
            </c:numRef>
          </c:val>
          <c:smooth val="0"/>
        </c:ser>
        <c:dLbls>
          <c:showLegendKey val="0"/>
          <c:showVal val="0"/>
          <c:showCatName val="0"/>
          <c:showSerName val="0"/>
          <c:showPercent val="0"/>
          <c:showBubbleSize val="0"/>
        </c:dLbls>
        <c:marker val="1"/>
        <c:smooth val="0"/>
        <c:axId val="86328064"/>
        <c:axId val="86329600"/>
      </c:lineChart>
      <c:catAx>
        <c:axId val="86328064"/>
        <c:scaling>
          <c:orientation val="minMax"/>
        </c:scaling>
        <c:delete val="0"/>
        <c:axPos val="b"/>
        <c:numFmt formatCode="General" sourceLinked="1"/>
        <c:majorTickMark val="cross"/>
        <c:minorTickMark val="none"/>
        <c:tickLblPos val="low"/>
        <c:txPr>
          <a:bodyPr rot="-2520000"/>
          <a:lstStyle/>
          <a:p>
            <a:pPr>
              <a:defRPr/>
            </a:pPr>
            <a:endParaRPr lang="en-US"/>
          </a:p>
        </c:txPr>
        <c:crossAx val="86329600"/>
        <c:crosses val="autoZero"/>
        <c:auto val="1"/>
        <c:lblAlgn val="ctr"/>
        <c:lblOffset val="100"/>
        <c:noMultiLvlLbl val="0"/>
      </c:catAx>
      <c:valAx>
        <c:axId val="86329600"/>
        <c:scaling>
          <c:orientation val="minMax"/>
          <c:max val="0"/>
          <c:min val="-1.7999999999999999E-2"/>
        </c:scaling>
        <c:delete val="0"/>
        <c:axPos val="l"/>
        <c:majorGridlines/>
        <c:numFmt formatCode="0.0%" sourceLinked="0"/>
        <c:majorTickMark val="none"/>
        <c:minorTickMark val="none"/>
        <c:tickLblPos val="nextTo"/>
        <c:crossAx val="86328064"/>
        <c:crosses val="autoZero"/>
        <c:crossBetween val="between"/>
        <c:majorUnit val="2E-3"/>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C00000"/>
            </a:solidFill>
          </c:spPr>
          <c:invertIfNegative val="0"/>
          <c:dLbls>
            <c:delete val="1"/>
          </c:dLbls>
          <c:cat>
            <c:strRef>
              <c:f>'GDP 10%+'!$AF$54:$AF$76</c:f>
              <c:strCache>
                <c:ptCount val="23"/>
                <c:pt idx="0">
                  <c:v>State and Local Government</c:v>
                </c:pt>
                <c:pt idx="1">
                  <c:v>Manufacturing</c:v>
                </c:pt>
                <c:pt idx="2">
                  <c:v>Construction</c:v>
                </c:pt>
                <c:pt idx="3">
                  <c:v>Utilities</c:v>
                </c:pt>
                <c:pt idx="4">
                  <c:v>Retail Trade</c:v>
                </c:pt>
                <c:pt idx="5">
                  <c:v>Real Estate and Rental and Leasing</c:v>
                </c:pt>
                <c:pt idx="6">
                  <c:v>Mining</c:v>
                </c:pt>
                <c:pt idx="7">
                  <c:v>Health Care and Social Assistance</c:v>
                </c:pt>
                <c:pt idx="8">
                  <c:v>Wholesale Trade</c:v>
                </c:pt>
                <c:pt idx="9">
                  <c:v>Finance and Insurance</c:v>
                </c:pt>
                <c:pt idx="10">
                  <c:v>Information</c:v>
                </c:pt>
                <c:pt idx="11">
                  <c:v>Administrative and Waste Management Services</c:v>
                </c:pt>
                <c:pt idx="12">
                  <c:v>Transportation and Warehousing</c:v>
                </c:pt>
                <c:pt idx="13">
                  <c:v>Accommodation and Food Services</c:v>
                </c:pt>
                <c:pt idx="14">
                  <c:v>Professional, Scientific, and Technical Services</c:v>
                </c:pt>
                <c:pt idx="15">
                  <c:v>Other Services, except Public Administration</c:v>
                </c:pt>
                <c:pt idx="16">
                  <c:v>Management of Companies and Enterprises</c:v>
                </c:pt>
                <c:pt idx="17">
                  <c:v>Arts, Entertainment, and Recreation</c:v>
                </c:pt>
                <c:pt idx="18">
                  <c:v>Farm</c:v>
                </c:pt>
                <c:pt idx="19">
                  <c:v>Forestry, Fishing, and Related Activities</c:v>
                </c:pt>
                <c:pt idx="20">
                  <c:v>Educational Services</c:v>
                </c:pt>
                <c:pt idx="21">
                  <c:v>Federal Civilian</c:v>
                </c:pt>
                <c:pt idx="22">
                  <c:v>Federal Military</c:v>
                </c:pt>
              </c:strCache>
            </c:strRef>
          </c:cat>
          <c:val>
            <c:numRef>
              <c:f>'GDP 10%+'!$AG$54:$AG$76</c:f>
              <c:numCache>
                <c:formatCode>"$"#,##0</c:formatCode>
                <c:ptCount val="23"/>
                <c:pt idx="0">
                  <c:v>-9520.4610237181605</c:v>
                </c:pt>
                <c:pt idx="1">
                  <c:v>-6071.4359991954116</c:v>
                </c:pt>
                <c:pt idx="2">
                  <c:v>-4816.8395087908284</c:v>
                </c:pt>
                <c:pt idx="3">
                  <c:v>-4306.9082598753657</c:v>
                </c:pt>
                <c:pt idx="4">
                  <c:v>-3073.7335775834131</c:v>
                </c:pt>
                <c:pt idx="5">
                  <c:v>-2844.460827000059</c:v>
                </c:pt>
                <c:pt idx="6">
                  <c:v>-2313.341829051054</c:v>
                </c:pt>
                <c:pt idx="7">
                  <c:v>-2102.543487991124</c:v>
                </c:pt>
                <c:pt idx="8">
                  <c:v>-1987.8598148467879</c:v>
                </c:pt>
                <c:pt idx="9">
                  <c:v>-1983.3695865974701</c:v>
                </c:pt>
                <c:pt idx="10">
                  <c:v>-1393.8088209514731</c:v>
                </c:pt>
                <c:pt idx="11">
                  <c:v>-1028.005509836501</c:v>
                </c:pt>
                <c:pt idx="12">
                  <c:v>-976.73725507858069</c:v>
                </c:pt>
                <c:pt idx="13">
                  <c:v>-754.14731045740803</c:v>
                </c:pt>
                <c:pt idx="14">
                  <c:v>-656.68269471458302</c:v>
                </c:pt>
                <c:pt idx="15">
                  <c:v>-649.42827124800704</c:v>
                </c:pt>
                <c:pt idx="16">
                  <c:v>-465.36167645196991</c:v>
                </c:pt>
                <c:pt idx="17">
                  <c:v>-219.5267937336987</c:v>
                </c:pt>
                <c:pt idx="18">
                  <c:v>-183.9929306026761</c:v>
                </c:pt>
                <c:pt idx="19">
                  <c:v>-132.81038758512099</c:v>
                </c:pt>
                <c:pt idx="20">
                  <c:v>-100.9599145324684</c:v>
                </c:pt>
                <c:pt idx="21">
                  <c:v>-52.300332293192199</c:v>
                </c:pt>
                <c:pt idx="22">
                  <c:v>-46.615827827840391</c:v>
                </c:pt>
              </c:numCache>
            </c:numRef>
          </c:val>
        </c:ser>
        <c:dLbls>
          <c:showLegendKey val="0"/>
          <c:showVal val="1"/>
          <c:showCatName val="0"/>
          <c:showSerName val="0"/>
          <c:showPercent val="0"/>
          <c:showBubbleSize val="0"/>
        </c:dLbls>
        <c:gapWidth val="75"/>
        <c:axId val="86346752"/>
        <c:axId val="86668032"/>
      </c:barChart>
      <c:catAx>
        <c:axId val="86346752"/>
        <c:scaling>
          <c:orientation val="minMax"/>
        </c:scaling>
        <c:delete val="0"/>
        <c:axPos val="l"/>
        <c:numFmt formatCode="General" sourceLinked="0"/>
        <c:majorTickMark val="cross"/>
        <c:minorTickMark val="none"/>
        <c:tickLblPos val="low"/>
        <c:txPr>
          <a:bodyPr/>
          <a:lstStyle/>
          <a:p>
            <a:pPr>
              <a:defRPr sz="600" b="1"/>
            </a:pPr>
            <a:endParaRPr lang="en-US"/>
          </a:p>
        </c:txPr>
        <c:crossAx val="86668032"/>
        <c:crosses val="autoZero"/>
        <c:auto val="1"/>
        <c:lblAlgn val="ctr"/>
        <c:lblOffset val="100"/>
        <c:noMultiLvlLbl val="0"/>
      </c:catAx>
      <c:valAx>
        <c:axId val="86668032"/>
        <c:scaling>
          <c:orientation val="minMax"/>
          <c:max val="4000"/>
          <c:min val="-16000"/>
        </c:scaling>
        <c:delete val="0"/>
        <c:axPos val="b"/>
        <c:majorGridlines/>
        <c:numFmt formatCode="&quot;$&quot;#,##0" sourceLinked="1"/>
        <c:majorTickMark val="none"/>
        <c:minorTickMark val="none"/>
        <c:tickLblPos val="nextTo"/>
        <c:crossAx val="86346752"/>
        <c:crosses val="autoZero"/>
        <c:crossBetween val="between"/>
        <c:majorUnit val="4000"/>
      </c:valAx>
    </c:plotArea>
    <c:plotVisOnly val="1"/>
    <c:dispBlanksAs val="gap"/>
    <c:showDLblsOverMax val="0"/>
  </c:chart>
  <c:spPr>
    <a:noFill/>
    <a:ln>
      <a:noFill/>
    </a:ln>
  </c:spPr>
  <c:txPr>
    <a:bodyPr/>
    <a:lstStyle/>
    <a:p>
      <a:pPr>
        <a:defRPr>
          <a:latin typeface="Calibri"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ysClr val="windowText" lastClr="000000"/>
            </a:solidFill>
          </c:spPr>
          <c:invertIfNegative val="0"/>
          <c:dLbls>
            <c:delete val="1"/>
          </c:dLbls>
          <c:cat>
            <c:strRef>
              <c:f>'GDP 10%+'!$AF$79:$AF$101</c:f>
              <c:strCache>
                <c:ptCount val="23"/>
                <c:pt idx="0">
                  <c:v>State and Local Government</c:v>
                </c:pt>
                <c:pt idx="1">
                  <c:v>Manufacturing</c:v>
                </c:pt>
                <c:pt idx="2">
                  <c:v>Real Estate and Rental and Leasing</c:v>
                </c:pt>
                <c:pt idx="3">
                  <c:v>Construction</c:v>
                </c:pt>
                <c:pt idx="4">
                  <c:v>Utilities</c:v>
                </c:pt>
                <c:pt idx="5">
                  <c:v>Finance and Insurance</c:v>
                </c:pt>
                <c:pt idx="6">
                  <c:v>Retail Trade</c:v>
                </c:pt>
                <c:pt idx="7">
                  <c:v>Wholesale Trade</c:v>
                </c:pt>
                <c:pt idx="8">
                  <c:v>Health Care and Social Assistance</c:v>
                </c:pt>
                <c:pt idx="9">
                  <c:v>Information</c:v>
                </c:pt>
                <c:pt idx="10">
                  <c:v>Mining</c:v>
                </c:pt>
                <c:pt idx="11">
                  <c:v>Administrative and Waste Management Services</c:v>
                </c:pt>
                <c:pt idx="12">
                  <c:v>Transportation and Warehousing</c:v>
                </c:pt>
                <c:pt idx="13">
                  <c:v>Accommodation and Food Services</c:v>
                </c:pt>
                <c:pt idx="14">
                  <c:v>Other Services, except Public Administration</c:v>
                </c:pt>
                <c:pt idx="15">
                  <c:v>Management of Companies and Enterprises</c:v>
                </c:pt>
                <c:pt idx="16">
                  <c:v>Arts, Entertainment, and Recreation</c:v>
                </c:pt>
                <c:pt idx="17">
                  <c:v>Educational Services</c:v>
                </c:pt>
                <c:pt idx="18">
                  <c:v>Farm</c:v>
                </c:pt>
                <c:pt idx="19">
                  <c:v>Federal Civilian</c:v>
                </c:pt>
                <c:pt idx="20">
                  <c:v>Forestry, Fishing, and Related Activities</c:v>
                </c:pt>
                <c:pt idx="21">
                  <c:v>Federal Military</c:v>
                </c:pt>
                <c:pt idx="22">
                  <c:v>Professional, Scientific, and Technical Services</c:v>
                </c:pt>
              </c:strCache>
            </c:strRef>
          </c:cat>
          <c:val>
            <c:numRef>
              <c:f>'GDP 10%+'!$AG$79:$AG$101</c:f>
              <c:numCache>
                <c:formatCode>"$"#,##0</c:formatCode>
                <c:ptCount val="23"/>
                <c:pt idx="0">
                  <c:v>-14886.41897628177</c:v>
                </c:pt>
                <c:pt idx="1">
                  <c:v>-10313.484000804599</c:v>
                </c:pt>
                <c:pt idx="2">
                  <c:v>-8200.9791729999433</c:v>
                </c:pt>
                <c:pt idx="3">
                  <c:v>-7951.8004912091719</c:v>
                </c:pt>
                <c:pt idx="4">
                  <c:v>-6133.4117401246294</c:v>
                </c:pt>
                <c:pt idx="5">
                  <c:v>-5460.5104134025314</c:v>
                </c:pt>
                <c:pt idx="6">
                  <c:v>-5150.2264224166202</c:v>
                </c:pt>
                <c:pt idx="7">
                  <c:v>-4574.7801851532122</c:v>
                </c:pt>
                <c:pt idx="8">
                  <c:v>-4259.8165120088834</c:v>
                </c:pt>
                <c:pt idx="9">
                  <c:v>-3984.5911790485379</c:v>
                </c:pt>
                <c:pt idx="10">
                  <c:v>-2541.298170948945</c:v>
                </c:pt>
                <c:pt idx="11">
                  <c:v>-2376.9544901634999</c:v>
                </c:pt>
                <c:pt idx="12">
                  <c:v>-1715.2227449214199</c:v>
                </c:pt>
                <c:pt idx="13">
                  <c:v>-1470.732689542592</c:v>
                </c:pt>
                <c:pt idx="14">
                  <c:v>-1349.5317287519949</c:v>
                </c:pt>
                <c:pt idx="15">
                  <c:v>-1306.678323548025</c:v>
                </c:pt>
                <c:pt idx="16">
                  <c:v>-669.15320626630353</c:v>
                </c:pt>
                <c:pt idx="17">
                  <c:v>-273.28008546753131</c:v>
                </c:pt>
                <c:pt idx="18">
                  <c:v>-165.28706939732459</c:v>
                </c:pt>
                <c:pt idx="19">
                  <c:v>-127.45966770680781</c:v>
                </c:pt>
                <c:pt idx="20">
                  <c:v>-100.5496124148796</c:v>
                </c:pt>
                <c:pt idx="21">
                  <c:v>-70.504172172158874</c:v>
                </c:pt>
                <c:pt idx="22">
                  <c:v>2231.482694714583</c:v>
                </c:pt>
              </c:numCache>
            </c:numRef>
          </c:val>
        </c:ser>
        <c:dLbls>
          <c:showLegendKey val="0"/>
          <c:showVal val="1"/>
          <c:showCatName val="0"/>
          <c:showSerName val="0"/>
          <c:showPercent val="0"/>
          <c:showBubbleSize val="0"/>
        </c:dLbls>
        <c:gapWidth val="75"/>
        <c:axId val="86380928"/>
        <c:axId val="86382464"/>
      </c:barChart>
      <c:catAx>
        <c:axId val="86380928"/>
        <c:scaling>
          <c:orientation val="minMax"/>
        </c:scaling>
        <c:delete val="0"/>
        <c:axPos val="l"/>
        <c:numFmt formatCode="General" sourceLinked="0"/>
        <c:majorTickMark val="cross"/>
        <c:minorTickMark val="none"/>
        <c:tickLblPos val="low"/>
        <c:txPr>
          <a:bodyPr/>
          <a:lstStyle/>
          <a:p>
            <a:pPr>
              <a:defRPr sz="600" b="1"/>
            </a:pPr>
            <a:endParaRPr lang="en-US"/>
          </a:p>
        </c:txPr>
        <c:crossAx val="86382464"/>
        <c:crosses val="autoZero"/>
        <c:auto val="1"/>
        <c:lblAlgn val="ctr"/>
        <c:lblOffset val="100"/>
        <c:noMultiLvlLbl val="0"/>
      </c:catAx>
      <c:valAx>
        <c:axId val="86382464"/>
        <c:scaling>
          <c:orientation val="minMax"/>
        </c:scaling>
        <c:delete val="0"/>
        <c:axPos val="b"/>
        <c:majorGridlines/>
        <c:numFmt formatCode="&quot;$&quot;#,##0" sourceLinked="1"/>
        <c:majorTickMark val="none"/>
        <c:minorTickMark val="none"/>
        <c:tickLblPos val="nextTo"/>
        <c:crossAx val="86380928"/>
        <c:crosses val="autoZero"/>
        <c:crossBetween val="between"/>
        <c:majorUnit val="4000"/>
      </c:valAx>
    </c:plotArea>
    <c:plotVisOnly val="1"/>
    <c:dispBlanksAs val="gap"/>
    <c:showDLblsOverMax val="0"/>
  </c:chart>
  <c:spPr>
    <a:noFill/>
    <a:ln>
      <a:noFill/>
    </a:ln>
  </c:spPr>
  <c:txPr>
    <a:bodyPr/>
    <a:lstStyle/>
    <a:p>
      <a:pPr>
        <a:defRPr>
          <a:latin typeface="Calibri"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C00000"/>
            </a:solidFill>
          </c:spPr>
          <c:invertIfNegative val="0"/>
          <c:dLbls>
            <c:delete val="1"/>
          </c:dLbls>
          <c:cat>
            <c:strRef>
              <c:f>'GDP 25%+'!$AF$54:$AF$76</c:f>
              <c:strCache>
                <c:ptCount val="23"/>
                <c:pt idx="0">
                  <c:v>Manufacturing</c:v>
                </c:pt>
                <c:pt idx="1">
                  <c:v>State and Local Government</c:v>
                </c:pt>
                <c:pt idx="2">
                  <c:v>Utilities</c:v>
                </c:pt>
                <c:pt idx="3">
                  <c:v>Construction</c:v>
                </c:pt>
                <c:pt idx="4">
                  <c:v>Retail Trade</c:v>
                </c:pt>
                <c:pt idx="5">
                  <c:v>Real Estate and Rental and Leasing</c:v>
                </c:pt>
                <c:pt idx="6">
                  <c:v>Mining</c:v>
                </c:pt>
                <c:pt idx="7">
                  <c:v>Health Care and Social Assistance</c:v>
                </c:pt>
                <c:pt idx="8">
                  <c:v>Wholesale Trade</c:v>
                </c:pt>
                <c:pt idx="9">
                  <c:v>Finance and Insurance</c:v>
                </c:pt>
                <c:pt idx="10">
                  <c:v>Information</c:v>
                </c:pt>
                <c:pt idx="11">
                  <c:v>Transportation and Warehousing</c:v>
                </c:pt>
                <c:pt idx="12">
                  <c:v>Administrative and Waste Management Services</c:v>
                </c:pt>
                <c:pt idx="13">
                  <c:v>Accommodation and Food Services</c:v>
                </c:pt>
                <c:pt idx="14">
                  <c:v>Other Services, except Public Administration</c:v>
                </c:pt>
                <c:pt idx="15">
                  <c:v>Professional, Scientific, and Technical Services</c:v>
                </c:pt>
                <c:pt idx="16">
                  <c:v>Management of Companies and Enterprises</c:v>
                </c:pt>
                <c:pt idx="17">
                  <c:v>Farm</c:v>
                </c:pt>
                <c:pt idx="18">
                  <c:v>Arts, Entertainment, and Recreation</c:v>
                </c:pt>
                <c:pt idx="19">
                  <c:v>Forestry, Fishing, and Related Activities</c:v>
                </c:pt>
                <c:pt idx="20">
                  <c:v>Educational Services</c:v>
                </c:pt>
                <c:pt idx="21">
                  <c:v>Federal Civilian</c:v>
                </c:pt>
                <c:pt idx="22">
                  <c:v>Federal Military</c:v>
                </c:pt>
              </c:strCache>
            </c:strRef>
          </c:cat>
          <c:val>
            <c:numRef>
              <c:f>'GDP 25%+'!$AG$54:$AG$76</c:f>
              <c:numCache>
                <c:formatCode>"$"#,##0</c:formatCode>
                <c:ptCount val="23"/>
                <c:pt idx="0">
                  <c:v>-13518.13651438423</c:v>
                </c:pt>
                <c:pt idx="1">
                  <c:v>-12039.92626195499</c:v>
                </c:pt>
                <c:pt idx="2">
                  <c:v>-9495.0206133680385</c:v>
                </c:pt>
                <c:pt idx="3">
                  <c:v>-9272.7288499787464</c:v>
                </c:pt>
                <c:pt idx="4">
                  <c:v>-6175.4461442150414</c:v>
                </c:pt>
                <c:pt idx="5">
                  <c:v>-5627.6126263404531</c:v>
                </c:pt>
                <c:pt idx="6">
                  <c:v>-4702.4584979376623</c:v>
                </c:pt>
                <c:pt idx="7">
                  <c:v>-4040.6168779675618</c:v>
                </c:pt>
                <c:pt idx="8">
                  <c:v>-3991.7193025949632</c:v>
                </c:pt>
                <c:pt idx="9">
                  <c:v>-3898.7375400925312</c:v>
                </c:pt>
                <c:pt idx="10">
                  <c:v>-2694.8474164286299</c:v>
                </c:pt>
                <c:pt idx="11">
                  <c:v>-1945.388468059097</c:v>
                </c:pt>
                <c:pt idx="12">
                  <c:v>-1830.3005732966701</c:v>
                </c:pt>
                <c:pt idx="13">
                  <c:v>-1466.406695979</c:v>
                </c:pt>
                <c:pt idx="14">
                  <c:v>-1237.6747862837151</c:v>
                </c:pt>
                <c:pt idx="15">
                  <c:v>-1087.969790832185</c:v>
                </c:pt>
                <c:pt idx="16">
                  <c:v>-1017.568826703138</c:v>
                </c:pt>
                <c:pt idx="17">
                  <c:v>-460.29043106151562</c:v>
                </c:pt>
                <c:pt idx="18">
                  <c:v>-430.63712890596719</c:v>
                </c:pt>
                <c:pt idx="19">
                  <c:v>-290.74938991239202</c:v>
                </c:pt>
                <c:pt idx="20">
                  <c:v>-197.81512320451051</c:v>
                </c:pt>
                <c:pt idx="21">
                  <c:v>-130.68859376309379</c:v>
                </c:pt>
                <c:pt idx="22">
                  <c:v>-116.395029719619</c:v>
                </c:pt>
              </c:numCache>
            </c:numRef>
          </c:val>
        </c:ser>
        <c:dLbls>
          <c:showLegendKey val="0"/>
          <c:showVal val="1"/>
          <c:showCatName val="0"/>
          <c:showSerName val="0"/>
          <c:showPercent val="0"/>
          <c:showBubbleSize val="0"/>
        </c:dLbls>
        <c:gapWidth val="75"/>
        <c:axId val="86398464"/>
        <c:axId val="86400000"/>
      </c:barChart>
      <c:catAx>
        <c:axId val="86398464"/>
        <c:scaling>
          <c:orientation val="minMax"/>
        </c:scaling>
        <c:delete val="0"/>
        <c:axPos val="l"/>
        <c:numFmt formatCode="General" sourceLinked="0"/>
        <c:majorTickMark val="none"/>
        <c:minorTickMark val="none"/>
        <c:tickLblPos val="low"/>
        <c:txPr>
          <a:bodyPr/>
          <a:lstStyle/>
          <a:p>
            <a:pPr>
              <a:defRPr sz="600" b="1"/>
            </a:pPr>
            <a:endParaRPr lang="en-US"/>
          </a:p>
        </c:txPr>
        <c:crossAx val="86400000"/>
        <c:crosses val="autoZero"/>
        <c:auto val="1"/>
        <c:lblAlgn val="ctr"/>
        <c:lblOffset val="100"/>
        <c:noMultiLvlLbl val="0"/>
      </c:catAx>
      <c:valAx>
        <c:axId val="86400000"/>
        <c:scaling>
          <c:orientation val="minMax"/>
          <c:max val="10000"/>
          <c:min val="-25000"/>
        </c:scaling>
        <c:delete val="0"/>
        <c:axPos val="b"/>
        <c:majorGridlines/>
        <c:numFmt formatCode="&quot;$&quot;#,##0" sourceLinked="1"/>
        <c:majorTickMark val="none"/>
        <c:minorTickMark val="none"/>
        <c:tickLblPos val="nextTo"/>
        <c:crossAx val="86398464"/>
        <c:crosses val="autoZero"/>
        <c:crossBetween val="between"/>
      </c:valAx>
    </c:plotArea>
    <c:plotVisOnly val="1"/>
    <c:dispBlanksAs val="gap"/>
    <c:showDLblsOverMax val="0"/>
  </c:chart>
  <c:spPr>
    <a:noFill/>
    <a:ln>
      <a:noFill/>
    </a:ln>
  </c:spPr>
  <c:txPr>
    <a:bodyPr/>
    <a:lstStyle/>
    <a:p>
      <a:pPr>
        <a:defRPr>
          <a:latin typeface="Calibri" pitchFamily="34" charset="0"/>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ysClr val="windowText" lastClr="000000"/>
            </a:solidFill>
          </c:spPr>
          <c:invertIfNegative val="0"/>
          <c:dLbls>
            <c:delete val="1"/>
          </c:dLbls>
          <c:cat>
            <c:strRef>
              <c:f>'GDP 25%+'!$AF$79:$AF$101</c:f>
              <c:strCache>
                <c:ptCount val="23"/>
                <c:pt idx="0">
                  <c:v>Manufacturing</c:v>
                </c:pt>
                <c:pt idx="1">
                  <c:v>State and Local Government</c:v>
                </c:pt>
                <c:pt idx="2">
                  <c:v>Real Estate and Rental and Leasing</c:v>
                </c:pt>
                <c:pt idx="3">
                  <c:v>Construction</c:v>
                </c:pt>
                <c:pt idx="4">
                  <c:v>Utilities</c:v>
                </c:pt>
                <c:pt idx="5">
                  <c:v>Finance and Insurance</c:v>
                </c:pt>
                <c:pt idx="6">
                  <c:v>Retail Trade</c:v>
                </c:pt>
                <c:pt idx="7">
                  <c:v>Wholesale Trade</c:v>
                </c:pt>
                <c:pt idx="8">
                  <c:v>Health Care and Social Assistance</c:v>
                </c:pt>
                <c:pt idx="9">
                  <c:v>Information</c:v>
                </c:pt>
                <c:pt idx="10">
                  <c:v>Mining</c:v>
                </c:pt>
                <c:pt idx="11">
                  <c:v>Administrative and Waste Management Services</c:v>
                </c:pt>
                <c:pt idx="12">
                  <c:v>Transportation and Warehousing</c:v>
                </c:pt>
                <c:pt idx="13">
                  <c:v>Accommodation and Food Services</c:v>
                </c:pt>
                <c:pt idx="14">
                  <c:v>Management of Companies and Enterprises</c:v>
                </c:pt>
                <c:pt idx="15">
                  <c:v>Other Services, except Public Administration</c:v>
                </c:pt>
                <c:pt idx="16">
                  <c:v>Arts, Entertainment, and Recreation</c:v>
                </c:pt>
                <c:pt idx="17">
                  <c:v>Educational Services</c:v>
                </c:pt>
                <c:pt idx="18">
                  <c:v>Farm</c:v>
                </c:pt>
                <c:pt idx="19">
                  <c:v>Federal Civilian</c:v>
                </c:pt>
                <c:pt idx="20">
                  <c:v>Forestry, Fishing, and Related Activities</c:v>
                </c:pt>
                <c:pt idx="21">
                  <c:v>Federal Military</c:v>
                </c:pt>
                <c:pt idx="22">
                  <c:v>Professional, Scientific, and Technical Services</c:v>
                </c:pt>
              </c:strCache>
            </c:strRef>
          </c:cat>
          <c:val>
            <c:numRef>
              <c:f>'GDP 25%+'!$AG$79:$AG$101</c:f>
              <c:numCache>
                <c:formatCode>"$"#,##0</c:formatCode>
                <c:ptCount val="23"/>
                <c:pt idx="0">
                  <c:v>-23316.183485615769</c:v>
                </c:pt>
                <c:pt idx="1">
                  <c:v>-18758.59373804502</c:v>
                </c:pt>
                <c:pt idx="2">
                  <c:v>-16432.74737365956</c:v>
                </c:pt>
                <c:pt idx="3">
                  <c:v>-15294.791150021259</c:v>
                </c:pt>
                <c:pt idx="4">
                  <c:v>-13539.61938663195</c:v>
                </c:pt>
                <c:pt idx="5">
                  <c:v>-10808.902459907469</c:v>
                </c:pt>
                <c:pt idx="6">
                  <c:v>-10531.67385578496</c:v>
                </c:pt>
                <c:pt idx="7">
                  <c:v>-9235.4006974050226</c:v>
                </c:pt>
                <c:pt idx="8">
                  <c:v>-8262.1431220324503</c:v>
                </c:pt>
                <c:pt idx="9">
                  <c:v>-7833.0725835713747</c:v>
                </c:pt>
                <c:pt idx="10">
                  <c:v>-5126.8615020623311</c:v>
                </c:pt>
                <c:pt idx="11">
                  <c:v>-4298.4194267033354</c:v>
                </c:pt>
                <c:pt idx="12">
                  <c:v>-3403.9715319409029</c:v>
                </c:pt>
                <c:pt idx="13">
                  <c:v>-2951.393304021005</c:v>
                </c:pt>
                <c:pt idx="14">
                  <c:v>-2846.8311732968668</c:v>
                </c:pt>
                <c:pt idx="15">
                  <c:v>-2598.8852137162862</c:v>
                </c:pt>
                <c:pt idx="16">
                  <c:v>-1315.6428710940329</c:v>
                </c:pt>
                <c:pt idx="17">
                  <c:v>-540.9848767954893</c:v>
                </c:pt>
                <c:pt idx="18">
                  <c:v>-413.14956893848398</c:v>
                </c:pt>
                <c:pt idx="19">
                  <c:v>-318.59140623690621</c:v>
                </c:pt>
                <c:pt idx="20">
                  <c:v>-225.17061008760811</c:v>
                </c:pt>
                <c:pt idx="21">
                  <c:v>-176.12497028038109</c:v>
                </c:pt>
                <c:pt idx="22">
                  <c:v>5259.4497908321682</c:v>
                </c:pt>
              </c:numCache>
            </c:numRef>
          </c:val>
        </c:ser>
        <c:dLbls>
          <c:showLegendKey val="0"/>
          <c:showVal val="1"/>
          <c:showCatName val="0"/>
          <c:showSerName val="0"/>
          <c:showPercent val="0"/>
          <c:showBubbleSize val="0"/>
        </c:dLbls>
        <c:gapWidth val="75"/>
        <c:axId val="86428672"/>
        <c:axId val="86446848"/>
      </c:barChart>
      <c:catAx>
        <c:axId val="86428672"/>
        <c:scaling>
          <c:orientation val="minMax"/>
        </c:scaling>
        <c:delete val="0"/>
        <c:axPos val="l"/>
        <c:numFmt formatCode="General" sourceLinked="0"/>
        <c:majorTickMark val="cross"/>
        <c:minorTickMark val="none"/>
        <c:tickLblPos val="low"/>
        <c:txPr>
          <a:bodyPr/>
          <a:lstStyle/>
          <a:p>
            <a:pPr>
              <a:defRPr sz="600" b="1"/>
            </a:pPr>
            <a:endParaRPr lang="en-US"/>
          </a:p>
        </c:txPr>
        <c:crossAx val="86446848"/>
        <c:crosses val="autoZero"/>
        <c:auto val="1"/>
        <c:lblAlgn val="ctr"/>
        <c:lblOffset val="100"/>
        <c:noMultiLvlLbl val="0"/>
      </c:catAx>
      <c:valAx>
        <c:axId val="86446848"/>
        <c:scaling>
          <c:orientation val="minMax"/>
        </c:scaling>
        <c:delete val="0"/>
        <c:axPos val="b"/>
        <c:majorGridlines/>
        <c:numFmt formatCode="&quot;$&quot;#,##0" sourceLinked="1"/>
        <c:majorTickMark val="none"/>
        <c:minorTickMark val="none"/>
        <c:tickLblPos val="nextTo"/>
        <c:crossAx val="86428672"/>
        <c:crosses val="autoZero"/>
        <c:crossBetween val="between"/>
      </c:valAx>
    </c:plotArea>
    <c:plotVisOnly val="1"/>
    <c:dispBlanksAs val="gap"/>
    <c:showDLblsOverMax val="0"/>
  </c:chart>
  <c:spPr>
    <a:noFill/>
    <a:ln>
      <a:noFill/>
    </a:ln>
  </c:spPr>
  <c:txPr>
    <a:bodyPr/>
    <a:lstStyle/>
    <a:p>
      <a:pPr>
        <a:defRPr>
          <a:latin typeface="Calibri" pitchFamily="34" charset="0"/>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smtClean="0"/>
              <a:t>Co-op</a:t>
            </a:r>
            <a:r>
              <a:rPr lang="en-US" baseline="0" dirty="0" smtClean="0"/>
              <a:t> Nation (and vicinity)</a:t>
            </a:r>
            <a:endParaRPr lang="en-US" dirty="0"/>
          </a:p>
        </c:rich>
      </c:tx>
      <c:layout>
        <c:manualLayout>
          <c:xMode val="edge"/>
          <c:yMode val="edge"/>
          <c:x val="0.30197326543602798"/>
          <c:y val="3.90053632374451E-2"/>
        </c:manualLayout>
      </c:layout>
      <c:overlay val="0"/>
    </c:title>
    <c:autoTitleDeleted val="0"/>
    <c:plotArea>
      <c:layout>
        <c:manualLayout>
          <c:layoutTarget val="inner"/>
          <c:xMode val="edge"/>
          <c:yMode val="edge"/>
          <c:x val="0.33890943747305402"/>
          <c:y val="0.18395234999294799"/>
          <c:w val="0.59581571627001895"/>
          <c:h val="0.602988356265867"/>
        </c:manualLayout>
      </c:layout>
      <c:lineChart>
        <c:grouping val="standard"/>
        <c:varyColors val="0"/>
        <c:ser>
          <c:idx val="2"/>
          <c:order val="0"/>
          <c:tx>
            <c:strRef>
              <c:f>'RDPI per capita'!$C$50</c:f>
              <c:strCache>
                <c:ptCount val="1"/>
                <c:pt idx="0">
                  <c:v>10% (+)</c:v>
                </c:pt>
              </c:strCache>
            </c:strRef>
          </c:tx>
          <c:spPr>
            <a:ln>
              <a:solidFill>
                <a:srgbClr val="C00000"/>
              </a:solidFill>
            </a:ln>
          </c:spPr>
          <c:marker>
            <c:symbol val="none"/>
          </c:marker>
          <c:cat>
            <c:numRef>
              <c:f>'RDPI per capita'!$D$47:$AC$47</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'RDPI per capita'!$D$50:$AC$50</c:f>
              <c:numCache>
                <c:formatCode>General</c:formatCode>
                <c:ptCount val="26"/>
                <c:pt idx="0">
                  <c:v>0</c:v>
                </c:pt>
                <c:pt idx="1">
                  <c:v>-103</c:v>
                </c:pt>
                <c:pt idx="2">
                  <c:v>-284.00000000000011</c:v>
                </c:pt>
                <c:pt idx="3">
                  <c:v>-378</c:v>
                </c:pt>
                <c:pt idx="4">
                  <c:v>-468</c:v>
                </c:pt>
                <c:pt idx="5">
                  <c:v>-550.99999999999989</c:v>
                </c:pt>
                <c:pt idx="6">
                  <c:v>-544.99999999999989</c:v>
                </c:pt>
                <c:pt idx="7">
                  <c:v>-532.99999999999989</c:v>
                </c:pt>
                <c:pt idx="8">
                  <c:v>-522</c:v>
                </c:pt>
                <c:pt idx="9">
                  <c:v>-510</c:v>
                </c:pt>
                <c:pt idx="10">
                  <c:v>-500</c:v>
                </c:pt>
                <c:pt idx="11">
                  <c:v>-488</c:v>
                </c:pt>
                <c:pt idx="12">
                  <c:v>-479</c:v>
                </c:pt>
                <c:pt idx="13">
                  <c:v>-471</c:v>
                </c:pt>
                <c:pt idx="14">
                  <c:v>-465.99999999999892</c:v>
                </c:pt>
                <c:pt idx="15">
                  <c:v>-461.99999999999892</c:v>
                </c:pt>
                <c:pt idx="16">
                  <c:v>-456.99999999999892</c:v>
                </c:pt>
                <c:pt idx="17">
                  <c:v>-453.99999999999892</c:v>
                </c:pt>
                <c:pt idx="18">
                  <c:v>-452.99999999999892</c:v>
                </c:pt>
                <c:pt idx="19">
                  <c:v>-451</c:v>
                </c:pt>
                <c:pt idx="20">
                  <c:v>-451</c:v>
                </c:pt>
                <c:pt idx="21">
                  <c:v>-451</c:v>
                </c:pt>
                <c:pt idx="22">
                  <c:v>-451</c:v>
                </c:pt>
                <c:pt idx="23">
                  <c:v>-451.99999999999892</c:v>
                </c:pt>
                <c:pt idx="24">
                  <c:v>-451.99999999999892</c:v>
                </c:pt>
                <c:pt idx="25">
                  <c:v>-452.99999999999892</c:v>
                </c:pt>
              </c:numCache>
            </c:numRef>
          </c:val>
          <c:smooth val="0"/>
        </c:ser>
        <c:ser>
          <c:idx val="3"/>
          <c:order val="1"/>
          <c:tx>
            <c:strRef>
              <c:f>'RDPI per capita'!$C$51</c:f>
              <c:strCache>
                <c:ptCount val="1"/>
                <c:pt idx="0">
                  <c:v>25% (+)</c:v>
                </c:pt>
              </c:strCache>
            </c:strRef>
          </c:tx>
          <c:spPr>
            <a:ln>
              <a:solidFill>
                <a:schemeClr val="tx1"/>
              </a:solidFill>
              <a:prstDash val="sysDash"/>
            </a:ln>
          </c:spPr>
          <c:marker>
            <c:symbol val="none"/>
          </c:marker>
          <c:cat>
            <c:numRef>
              <c:f>'RDPI per capita'!$D$47:$AC$47</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'RDPI per capita'!$D$51:$AC$51</c:f>
              <c:numCache>
                <c:formatCode>General</c:formatCode>
                <c:ptCount val="26"/>
                <c:pt idx="0">
                  <c:v>0</c:v>
                </c:pt>
                <c:pt idx="1">
                  <c:v>-172</c:v>
                </c:pt>
                <c:pt idx="2">
                  <c:v>-542.99999999999989</c:v>
                </c:pt>
                <c:pt idx="3">
                  <c:v>-762</c:v>
                </c:pt>
                <c:pt idx="4">
                  <c:v>-964</c:v>
                </c:pt>
                <c:pt idx="5">
                  <c:v>-1152</c:v>
                </c:pt>
                <c:pt idx="6">
                  <c:v>-1144</c:v>
                </c:pt>
                <c:pt idx="7">
                  <c:v>-1122</c:v>
                </c:pt>
                <c:pt idx="8">
                  <c:v>-1104</c:v>
                </c:pt>
                <c:pt idx="9">
                  <c:v>-1081</c:v>
                </c:pt>
                <c:pt idx="10">
                  <c:v>-1061</c:v>
                </c:pt>
                <c:pt idx="11">
                  <c:v>-1040</c:v>
                </c:pt>
                <c:pt idx="12">
                  <c:v>-1023</c:v>
                </c:pt>
                <c:pt idx="13">
                  <c:v>-1011</c:v>
                </c:pt>
                <c:pt idx="14">
                  <c:v>-1003</c:v>
                </c:pt>
                <c:pt idx="15">
                  <c:v>-997</c:v>
                </c:pt>
                <c:pt idx="16">
                  <c:v>-989</c:v>
                </c:pt>
                <c:pt idx="17">
                  <c:v>-982</c:v>
                </c:pt>
                <c:pt idx="18">
                  <c:v>-980</c:v>
                </c:pt>
                <c:pt idx="19">
                  <c:v>-980</c:v>
                </c:pt>
                <c:pt idx="20">
                  <c:v>-980</c:v>
                </c:pt>
                <c:pt idx="21">
                  <c:v>-982</c:v>
                </c:pt>
                <c:pt idx="22">
                  <c:v>-983</c:v>
                </c:pt>
                <c:pt idx="23">
                  <c:v>-986</c:v>
                </c:pt>
                <c:pt idx="24">
                  <c:v>-990</c:v>
                </c:pt>
                <c:pt idx="25">
                  <c:v>-994</c:v>
                </c:pt>
              </c:numCache>
            </c:numRef>
          </c:val>
          <c:smooth val="0"/>
        </c:ser>
        <c:dLbls>
          <c:showLegendKey val="0"/>
          <c:showVal val="0"/>
          <c:showCatName val="0"/>
          <c:showSerName val="0"/>
          <c:showPercent val="0"/>
          <c:showBubbleSize val="0"/>
        </c:dLbls>
        <c:marker val="1"/>
        <c:smooth val="0"/>
        <c:axId val="86495232"/>
        <c:axId val="86496768"/>
      </c:lineChart>
      <c:catAx>
        <c:axId val="86495232"/>
        <c:scaling>
          <c:orientation val="minMax"/>
        </c:scaling>
        <c:delete val="0"/>
        <c:axPos val="b"/>
        <c:numFmt formatCode="General" sourceLinked="1"/>
        <c:majorTickMark val="cross"/>
        <c:minorTickMark val="none"/>
        <c:tickLblPos val="low"/>
        <c:txPr>
          <a:bodyPr rot="-2760000"/>
          <a:lstStyle/>
          <a:p>
            <a:pPr>
              <a:defRPr/>
            </a:pPr>
            <a:endParaRPr lang="en-US"/>
          </a:p>
        </c:txPr>
        <c:crossAx val="86496768"/>
        <c:crosses val="autoZero"/>
        <c:auto val="1"/>
        <c:lblAlgn val="ctr"/>
        <c:lblOffset val="100"/>
        <c:tickLblSkip val="5"/>
        <c:noMultiLvlLbl val="0"/>
      </c:catAx>
      <c:valAx>
        <c:axId val="86496768"/>
        <c:scaling>
          <c:orientation val="minMax"/>
        </c:scaling>
        <c:delete val="0"/>
        <c:axPos val="l"/>
        <c:majorGridlines/>
        <c:title>
          <c:tx>
            <c:rich>
              <a:bodyPr/>
              <a:lstStyle/>
              <a:p>
                <a:pPr>
                  <a:defRPr sz="1200"/>
                </a:pPr>
                <a:r>
                  <a:rPr lang="en-US" sz="1200"/>
                  <a:t>2015 dollars per capita</a:t>
                </a:r>
              </a:p>
            </c:rich>
          </c:tx>
          <c:layout/>
          <c:overlay val="0"/>
        </c:title>
        <c:numFmt formatCode="&quot;$&quot;#,##0" sourceLinked="0"/>
        <c:majorTickMark val="none"/>
        <c:minorTickMark val="none"/>
        <c:tickLblPos val="nextTo"/>
        <c:crossAx val="86495232"/>
        <c:crosses val="autoZero"/>
        <c:crossBetween val="between"/>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Rest</a:t>
            </a:r>
            <a:r>
              <a:rPr lang="en-US" sz="1200" baseline="0"/>
              <a:t> of USA</a:t>
            </a:r>
            <a:endParaRPr lang="en-US" sz="1200"/>
          </a:p>
        </c:rich>
      </c:tx>
      <c:layout>
        <c:manualLayout>
          <c:xMode val="edge"/>
          <c:yMode val="edge"/>
          <c:x val="0.34587648489165801"/>
          <c:y val="4.0112153581413598E-7"/>
        </c:manualLayout>
      </c:layout>
      <c:overlay val="0"/>
    </c:title>
    <c:autoTitleDeleted val="0"/>
    <c:plotArea>
      <c:layout>
        <c:manualLayout>
          <c:layoutTarget val="inner"/>
          <c:xMode val="edge"/>
          <c:yMode val="edge"/>
          <c:x val="0.185388235318839"/>
          <c:y val="0.13908929366508799"/>
          <c:w val="0.61213591501966702"/>
          <c:h val="0.64577177848356704"/>
        </c:manualLayout>
      </c:layout>
      <c:lineChart>
        <c:grouping val="standard"/>
        <c:varyColors val="0"/>
        <c:ser>
          <c:idx val="2"/>
          <c:order val="0"/>
          <c:tx>
            <c:strRef>
              <c:f>'RDPI per capita'!$C$57</c:f>
              <c:strCache>
                <c:ptCount val="1"/>
                <c:pt idx="0">
                  <c:v>10% (+)</c:v>
                </c:pt>
              </c:strCache>
            </c:strRef>
          </c:tx>
          <c:spPr>
            <a:ln>
              <a:solidFill>
                <a:srgbClr val="C00000"/>
              </a:solidFill>
            </a:ln>
          </c:spPr>
          <c:marker>
            <c:symbol val="none"/>
          </c:marker>
          <c:cat>
            <c:numRef>
              <c:f>'RDPI per capita'!$D$54:$AC$54</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'RDPI per capita'!$D$57:$AC$57</c:f>
              <c:numCache>
                <c:formatCode>General</c:formatCode>
                <c:ptCount val="26"/>
                <c:pt idx="0">
                  <c:v>0</c:v>
                </c:pt>
                <c:pt idx="1">
                  <c:v>-103</c:v>
                </c:pt>
                <c:pt idx="2">
                  <c:v>-159</c:v>
                </c:pt>
                <c:pt idx="3">
                  <c:v>-216</c:v>
                </c:pt>
                <c:pt idx="4">
                  <c:v>-271</c:v>
                </c:pt>
                <c:pt idx="5">
                  <c:v>-324</c:v>
                </c:pt>
                <c:pt idx="6">
                  <c:v>-327</c:v>
                </c:pt>
                <c:pt idx="7">
                  <c:v>-326</c:v>
                </c:pt>
                <c:pt idx="8">
                  <c:v>-327</c:v>
                </c:pt>
                <c:pt idx="9">
                  <c:v>-326</c:v>
                </c:pt>
                <c:pt idx="10">
                  <c:v>-326</c:v>
                </c:pt>
                <c:pt idx="11">
                  <c:v>-324</c:v>
                </c:pt>
                <c:pt idx="12">
                  <c:v>-323</c:v>
                </c:pt>
                <c:pt idx="13">
                  <c:v>-322</c:v>
                </c:pt>
                <c:pt idx="14">
                  <c:v>-322</c:v>
                </c:pt>
                <c:pt idx="15">
                  <c:v>-322</c:v>
                </c:pt>
                <c:pt idx="16">
                  <c:v>-321</c:v>
                </c:pt>
                <c:pt idx="17">
                  <c:v>-321</c:v>
                </c:pt>
                <c:pt idx="18">
                  <c:v>-321</c:v>
                </c:pt>
                <c:pt idx="19">
                  <c:v>-321</c:v>
                </c:pt>
                <c:pt idx="20">
                  <c:v>-322</c:v>
                </c:pt>
                <c:pt idx="21">
                  <c:v>-322</c:v>
                </c:pt>
                <c:pt idx="22">
                  <c:v>-322</c:v>
                </c:pt>
                <c:pt idx="23">
                  <c:v>-322</c:v>
                </c:pt>
                <c:pt idx="24">
                  <c:v>-322</c:v>
                </c:pt>
                <c:pt idx="25">
                  <c:v>-322</c:v>
                </c:pt>
              </c:numCache>
            </c:numRef>
          </c:val>
          <c:smooth val="0"/>
        </c:ser>
        <c:ser>
          <c:idx val="3"/>
          <c:order val="1"/>
          <c:tx>
            <c:strRef>
              <c:f>'RDPI per capita'!$C$58</c:f>
              <c:strCache>
                <c:ptCount val="1"/>
                <c:pt idx="0">
                  <c:v>25% (+)</c:v>
                </c:pt>
              </c:strCache>
            </c:strRef>
          </c:tx>
          <c:spPr>
            <a:ln>
              <a:solidFill>
                <a:schemeClr val="tx1"/>
              </a:solidFill>
              <a:prstDash val="sysDash"/>
            </a:ln>
          </c:spPr>
          <c:marker>
            <c:symbol val="none"/>
          </c:marker>
          <c:cat>
            <c:numRef>
              <c:f>'RDPI per capita'!$D$54:$AC$54</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'RDPI per capita'!$D$58:$AC$58</c:f>
              <c:numCache>
                <c:formatCode>General</c:formatCode>
                <c:ptCount val="26"/>
                <c:pt idx="0">
                  <c:v>0</c:v>
                </c:pt>
                <c:pt idx="1">
                  <c:v>-178</c:v>
                </c:pt>
                <c:pt idx="2">
                  <c:v>-309</c:v>
                </c:pt>
                <c:pt idx="3">
                  <c:v>-439</c:v>
                </c:pt>
                <c:pt idx="4">
                  <c:v>-561</c:v>
                </c:pt>
                <c:pt idx="5">
                  <c:v>-675</c:v>
                </c:pt>
                <c:pt idx="6">
                  <c:v>-682</c:v>
                </c:pt>
                <c:pt idx="7">
                  <c:v>-681</c:v>
                </c:pt>
                <c:pt idx="8">
                  <c:v>-684</c:v>
                </c:pt>
                <c:pt idx="9">
                  <c:v>-684</c:v>
                </c:pt>
                <c:pt idx="10">
                  <c:v>-683</c:v>
                </c:pt>
                <c:pt idx="11">
                  <c:v>-681</c:v>
                </c:pt>
                <c:pt idx="12">
                  <c:v>-679</c:v>
                </c:pt>
                <c:pt idx="13">
                  <c:v>-679</c:v>
                </c:pt>
                <c:pt idx="14">
                  <c:v>-680</c:v>
                </c:pt>
                <c:pt idx="15">
                  <c:v>-681</c:v>
                </c:pt>
                <c:pt idx="16">
                  <c:v>-679</c:v>
                </c:pt>
                <c:pt idx="17">
                  <c:v>-678</c:v>
                </c:pt>
                <c:pt idx="18">
                  <c:v>-678</c:v>
                </c:pt>
                <c:pt idx="19">
                  <c:v>-680</c:v>
                </c:pt>
                <c:pt idx="20">
                  <c:v>-681</c:v>
                </c:pt>
                <c:pt idx="21">
                  <c:v>-683</c:v>
                </c:pt>
                <c:pt idx="22">
                  <c:v>-684</c:v>
                </c:pt>
                <c:pt idx="23">
                  <c:v>-685</c:v>
                </c:pt>
                <c:pt idx="24">
                  <c:v>-686</c:v>
                </c:pt>
                <c:pt idx="25">
                  <c:v>-687</c:v>
                </c:pt>
              </c:numCache>
            </c:numRef>
          </c:val>
          <c:smooth val="0"/>
        </c:ser>
        <c:dLbls>
          <c:showLegendKey val="0"/>
          <c:showVal val="0"/>
          <c:showCatName val="0"/>
          <c:showSerName val="0"/>
          <c:showPercent val="0"/>
          <c:showBubbleSize val="0"/>
        </c:dLbls>
        <c:marker val="1"/>
        <c:smooth val="0"/>
        <c:axId val="86526208"/>
        <c:axId val="86528000"/>
      </c:lineChart>
      <c:catAx>
        <c:axId val="86526208"/>
        <c:scaling>
          <c:orientation val="minMax"/>
        </c:scaling>
        <c:delete val="0"/>
        <c:axPos val="b"/>
        <c:numFmt formatCode="General" sourceLinked="1"/>
        <c:majorTickMark val="cross"/>
        <c:minorTickMark val="none"/>
        <c:tickLblPos val="low"/>
        <c:txPr>
          <a:bodyPr rot="-2400000"/>
          <a:lstStyle/>
          <a:p>
            <a:pPr>
              <a:defRPr/>
            </a:pPr>
            <a:endParaRPr lang="en-US"/>
          </a:p>
        </c:txPr>
        <c:crossAx val="86528000"/>
        <c:crosses val="autoZero"/>
        <c:auto val="1"/>
        <c:lblAlgn val="ctr"/>
        <c:lblOffset val="100"/>
        <c:tickLblSkip val="5"/>
        <c:noMultiLvlLbl val="0"/>
      </c:catAx>
      <c:valAx>
        <c:axId val="86528000"/>
        <c:scaling>
          <c:orientation val="minMax"/>
          <c:max val="0"/>
          <c:min val="-1400"/>
        </c:scaling>
        <c:delete val="0"/>
        <c:axPos val="l"/>
        <c:majorGridlines/>
        <c:numFmt formatCode="&quot;$&quot;#,##0" sourceLinked="0"/>
        <c:majorTickMark val="none"/>
        <c:minorTickMark val="none"/>
        <c:tickLblPos val="nextTo"/>
        <c:crossAx val="86526208"/>
        <c:crosses val="autoZero"/>
        <c:crossBetween val="between"/>
      </c:valAx>
    </c:plotArea>
    <c:plotVisOnly val="1"/>
    <c:dispBlanksAs val="gap"/>
    <c:showDLblsOverMax val="0"/>
  </c:chart>
  <c:spPr>
    <a:noFill/>
    <a:ln>
      <a:noFill/>
    </a:ln>
  </c:spPr>
  <c:txPr>
    <a:bodyPr/>
    <a:lstStyle/>
    <a:p>
      <a:pPr>
        <a:defRPr>
          <a:latin typeface="Calibri" pitchFamily="34" charset="0"/>
        </a:defRPr>
      </a:pPr>
      <a:endParaRPr lang="en-US"/>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Co-op</a:t>
            </a:r>
            <a:r>
              <a:rPr lang="en-US" baseline="0" dirty="0"/>
              <a:t> </a:t>
            </a:r>
            <a:r>
              <a:rPr lang="en-US" baseline="0" dirty="0" smtClean="0"/>
              <a:t>Nation (and vicinity)</a:t>
            </a:r>
            <a:endParaRPr lang="en-US" dirty="0"/>
          </a:p>
        </c:rich>
      </c:tx>
      <c:layout>
        <c:manualLayout>
          <c:xMode val="edge"/>
          <c:yMode val="edge"/>
          <c:x val="0.31400702035149602"/>
          <c:y val="2.6212319790301399E-2"/>
        </c:manualLayout>
      </c:layout>
      <c:overlay val="0"/>
    </c:title>
    <c:autoTitleDeleted val="0"/>
    <c:plotArea>
      <c:layout>
        <c:manualLayout>
          <c:layoutTarget val="inner"/>
          <c:xMode val="edge"/>
          <c:yMode val="edge"/>
          <c:x val="0.32747390289568901"/>
          <c:y val="0.15182402658383301"/>
          <c:w val="0.60438003881436597"/>
          <c:h val="0.54409717994071105"/>
        </c:manualLayout>
      </c:layout>
      <c:lineChart>
        <c:grouping val="standard"/>
        <c:varyColors val="0"/>
        <c:ser>
          <c:idx val="2"/>
          <c:order val="0"/>
          <c:tx>
            <c:strRef>
              <c:f>N!$C$50</c:f>
              <c:strCache>
                <c:ptCount val="1"/>
                <c:pt idx="0">
                  <c:v>10% (+)</c:v>
                </c:pt>
              </c:strCache>
            </c:strRef>
          </c:tx>
          <c:spPr>
            <a:ln>
              <a:solidFill>
                <a:srgbClr val="C00000"/>
              </a:solidFill>
            </a:ln>
          </c:spPr>
          <c:marker>
            <c:symbol val="none"/>
          </c:marker>
          <c:cat>
            <c:numRef>
              <c:f>N!$D$47:$AC$47</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N!$D$50:$AC$50</c:f>
              <c:numCache>
                <c:formatCode>General</c:formatCode>
                <c:ptCount val="26"/>
                <c:pt idx="0">
                  <c:v>0</c:v>
                </c:pt>
                <c:pt idx="1">
                  <c:v>-10524.874999999971</c:v>
                </c:pt>
                <c:pt idx="2">
                  <c:v>-22759</c:v>
                </c:pt>
                <c:pt idx="3">
                  <c:v>-36341</c:v>
                </c:pt>
                <c:pt idx="4">
                  <c:v>-51349</c:v>
                </c:pt>
                <c:pt idx="5">
                  <c:v>-67274.5</c:v>
                </c:pt>
                <c:pt idx="6">
                  <c:v>-81628.75</c:v>
                </c:pt>
                <c:pt idx="7">
                  <c:v>-94140</c:v>
                </c:pt>
                <c:pt idx="8">
                  <c:v>-104720.25</c:v>
                </c:pt>
                <c:pt idx="9">
                  <c:v>-113395</c:v>
                </c:pt>
                <c:pt idx="10">
                  <c:v>-120497</c:v>
                </c:pt>
                <c:pt idx="11">
                  <c:v>-126148.25</c:v>
                </c:pt>
                <c:pt idx="12">
                  <c:v>-130371.75</c:v>
                </c:pt>
                <c:pt idx="13">
                  <c:v>-133417</c:v>
                </c:pt>
                <c:pt idx="14">
                  <c:v>-135771.75</c:v>
                </c:pt>
                <c:pt idx="15">
                  <c:v>-137355.25</c:v>
                </c:pt>
                <c:pt idx="16">
                  <c:v>-138398</c:v>
                </c:pt>
                <c:pt idx="17">
                  <c:v>-138983.75</c:v>
                </c:pt>
                <c:pt idx="18">
                  <c:v>-139028</c:v>
                </c:pt>
                <c:pt idx="19">
                  <c:v>-138667</c:v>
                </c:pt>
                <c:pt idx="20">
                  <c:v>-138020.5</c:v>
                </c:pt>
                <c:pt idx="21">
                  <c:v>-137180</c:v>
                </c:pt>
                <c:pt idx="22">
                  <c:v>-136011.75</c:v>
                </c:pt>
                <c:pt idx="23">
                  <c:v>-134666.5</c:v>
                </c:pt>
                <c:pt idx="24">
                  <c:v>-133116.5</c:v>
                </c:pt>
                <c:pt idx="25">
                  <c:v>-131500</c:v>
                </c:pt>
              </c:numCache>
            </c:numRef>
          </c:val>
          <c:smooth val="0"/>
        </c:ser>
        <c:ser>
          <c:idx val="3"/>
          <c:order val="1"/>
          <c:tx>
            <c:strRef>
              <c:f>N!$C$51</c:f>
              <c:strCache>
                <c:ptCount val="1"/>
                <c:pt idx="0">
                  <c:v>25% (+)</c:v>
                </c:pt>
              </c:strCache>
            </c:strRef>
          </c:tx>
          <c:spPr>
            <a:ln>
              <a:solidFill>
                <a:schemeClr val="tx1"/>
              </a:solidFill>
              <a:prstDash val="sysDash"/>
            </a:ln>
          </c:spPr>
          <c:marker>
            <c:symbol val="none"/>
          </c:marker>
          <c:cat>
            <c:numRef>
              <c:f>N!$D$47:$AC$47</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N!$D$51:$AC$51</c:f>
              <c:numCache>
                <c:formatCode>General</c:formatCode>
                <c:ptCount val="26"/>
                <c:pt idx="0">
                  <c:v>0</c:v>
                </c:pt>
                <c:pt idx="1">
                  <c:v>-13606.374999999971</c:v>
                </c:pt>
                <c:pt idx="2">
                  <c:v>-32195</c:v>
                </c:pt>
                <c:pt idx="3">
                  <c:v>-55270.25</c:v>
                </c:pt>
                <c:pt idx="4">
                  <c:v>-82253.5</c:v>
                </c:pt>
                <c:pt idx="5">
                  <c:v>-112283.25</c:v>
                </c:pt>
                <c:pt idx="6">
                  <c:v>-139307.25</c:v>
                </c:pt>
                <c:pt idx="7">
                  <c:v>-162913.5</c:v>
                </c:pt>
                <c:pt idx="8">
                  <c:v>-182445.25</c:v>
                </c:pt>
                <c:pt idx="9">
                  <c:v>-198255.25</c:v>
                </c:pt>
                <c:pt idx="10">
                  <c:v>-210810.75</c:v>
                </c:pt>
                <c:pt idx="11">
                  <c:v>-220394.25</c:v>
                </c:pt>
                <c:pt idx="12">
                  <c:v>-227467</c:v>
                </c:pt>
                <c:pt idx="13">
                  <c:v>-232336</c:v>
                </c:pt>
                <c:pt idx="14">
                  <c:v>-235618.75</c:v>
                </c:pt>
                <c:pt idx="15">
                  <c:v>-237483.25</c:v>
                </c:pt>
                <c:pt idx="16">
                  <c:v>-238297</c:v>
                </c:pt>
                <c:pt idx="17">
                  <c:v>-238128</c:v>
                </c:pt>
                <c:pt idx="18">
                  <c:v>-237198.75</c:v>
                </c:pt>
                <c:pt idx="19">
                  <c:v>-235473.75</c:v>
                </c:pt>
                <c:pt idx="20">
                  <c:v>-233117.25</c:v>
                </c:pt>
                <c:pt idx="21">
                  <c:v>-230556</c:v>
                </c:pt>
                <c:pt idx="22">
                  <c:v>-227376.25</c:v>
                </c:pt>
                <c:pt idx="23">
                  <c:v>-223907</c:v>
                </c:pt>
                <c:pt idx="24">
                  <c:v>-220424.75</c:v>
                </c:pt>
                <c:pt idx="25">
                  <c:v>-216545</c:v>
                </c:pt>
              </c:numCache>
            </c:numRef>
          </c:val>
          <c:smooth val="0"/>
        </c:ser>
        <c:dLbls>
          <c:showLegendKey val="0"/>
          <c:showVal val="0"/>
          <c:showCatName val="0"/>
          <c:showSerName val="0"/>
          <c:showPercent val="0"/>
          <c:showBubbleSize val="0"/>
        </c:dLbls>
        <c:marker val="1"/>
        <c:smooth val="0"/>
        <c:axId val="86570496"/>
        <c:axId val="86572032"/>
      </c:lineChart>
      <c:catAx>
        <c:axId val="86570496"/>
        <c:scaling>
          <c:orientation val="minMax"/>
        </c:scaling>
        <c:delete val="0"/>
        <c:axPos val="b"/>
        <c:numFmt formatCode="General" sourceLinked="1"/>
        <c:majorTickMark val="cross"/>
        <c:minorTickMark val="none"/>
        <c:tickLblPos val="low"/>
        <c:txPr>
          <a:bodyPr rot="-2580000"/>
          <a:lstStyle/>
          <a:p>
            <a:pPr>
              <a:defRPr/>
            </a:pPr>
            <a:endParaRPr lang="en-US"/>
          </a:p>
        </c:txPr>
        <c:crossAx val="86572032"/>
        <c:crosses val="autoZero"/>
        <c:auto val="1"/>
        <c:lblAlgn val="ctr"/>
        <c:lblOffset val="100"/>
        <c:tickLblSkip val="5"/>
        <c:noMultiLvlLbl val="0"/>
      </c:catAx>
      <c:valAx>
        <c:axId val="86572032"/>
        <c:scaling>
          <c:orientation val="minMax"/>
          <c:max val="300000"/>
        </c:scaling>
        <c:delete val="0"/>
        <c:axPos val="l"/>
        <c:majorGridlines/>
        <c:title>
          <c:tx>
            <c:rich>
              <a:bodyPr/>
              <a:lstStyle/>
              <a:p>
                <a:pPr>
                  <a:defRPr sz="1200"/>
                </a:pPr>
                <a:r>
                  <a:rPr lang="en-US" sz="1200"/>
                  <a:t>Individuals </a:t>
                </a:r>
              </a:p>
            </c:rich>
          </c:tx>
          <c:layout/>
          <c:overlay val="0"/>
        </c:title>
        <c:numFmt formatCode="#,##0" sourceLinked="0"/>
        <c:majorTickMark val="none"/>
        <c:minorTickMark val="none"/>
        <c:tickLblPos val="nextTo"/>
        <c:crossAx val="86570496"/>
        <c:crosses val="autoZero"/>
        <c:crossBetween val="between"/>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Rest of USA</a:t>
            </a:r>
          </a:p>
        </c:rich>
      </c:tx>
      <c:layout>
        <c:manualLayout>
          <c:xMode val="edge"/>
          <c:yMode val="edge"/>
          <c:x val="0.43426955965962499"/>
          <c:y val="3.0608418845608602E-6"/>
        </c:manualLayout>
      </c:layout>
      <c:overlay val="0"/>
    </c:title>
    <c:autoTitleDeleted val="0"/>
    <c:plotArea>
      <c:layout>
        <c:manualLayout>
          <c:layoutTarget val="inner"/>
          <c:xMode val="edge"/>
          <c:yMode val="edge"/>
          <c:x val="0.26228567548888398"/>
          <c:y val="0.14943010263967799"/>
          <c:w val="0.64395521751467999"/>
          <c:h val="0.70082795772977402"/>
        </c:manualLayout>
      </c:layout>
      <c:lineChart>
        <c:grouping val="standard"/>
        <c:varyColors val="0"/>
        <c:ser>
          <c:idx val="2"/>
          <c:order val="0"/>
          <c:tx>
            <c:strRef>
              <c:f>EMP!$B$23</c:f>
              <c:strCache>
                <c:ptCount val="1"/>
                <c:pt idx="0">
                  <c:v>10% (+)</c:v>
                </c:pt>
              </c:strCache>
            </c:strRef>
          </c:tx>
          <c:spPr>
            <a:ln>
              <a:solidFill>
                <a:srgbClr val="C00000"/>
              </a:solidFill>
            </a:ln>
          </c:spPr>
          <c:marker>
            <c:symbol val="none"/>
          </c:marker>
          <c:cat>
            <c:numRef>
              <c:f>EMP!$C$20:$AB$20</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EMP!$C$23:$AB$23</c:f>
              <c:numCache>
                <c:formatCode>General</c:formatCode>
                <c:ptCount val="26"/>
                <c:pt idx="0">
                  <c:v>0</c:v>
                </c:pt>
                <c:pt idx="1">
                  <c:v>-338985.47619561502</c:v>
                </c:pt>
                <c:pt idx="2">
                  <c:v>-448216.79016544041</c:v>
                </c:pt>
                <c:pt idx="3">
                  <c:v>-554366.12702806888</c:v>
                </c:pt>
                <c:pt idx="4">
                  <c:v>-649052.24216839636</c:v>
                </c:pt>
                <c:pt idx="5">
                  <c:v>-728085.13823641744</c:v>
                </c:pt>
                <c:pt idx="6">
                  <c:v>-727144.96178792964</c:v>
                </c:pt>
                <c:pt idx="7">
                  <c:v>-702327.85016409704</c:v>
                </c:pt>
                <c:pt idx="8">
                  <c:v>-675942.96393847652</c:v>
                </c:pt>
                <c:pt idx="9">
                  <c:v>-646875.53567997331</c:v>
                </c:pt>
                <c:pt idx="10">
                  <c:v>-617259.29403612006</c:v>
                </c:pt>
                <c:pt idx="11">
                  <c:v>-583341.2086795012</c:v>
                </c:pt>
                <c:pt idx="12">
                  <c:v>-552279.08540651645</c:v>
                </c:pt>
                <c:pt idx="13">
                  <c:v>-525779.54678665404</c:v>
                </c:pt>
                <c:pt idx="14">
                  <c:v>-501969.51551471098</c:v>
                </c:pt>
                <c:pt idx="15">
                  <c:v>-480625.35568010522</c:v>
                </c:pt>
                <c:pt idx="16">
                  <c:v>-463663.23989745672</c:v>
                </c:pt>
                <c:pt idx="17">
                  <c:v>-448412.07714296732</c:v>
                </c:pt>
                <c:pt idx="18">
                  <c:v>-436793.69354165398</c:v>
                </c:pt>
                <c:pt idx="19">
                  <c:v>-426205.66482584341</c:v>
                </c:pt>
                <c:pt idx="20">
                  <c:v>-416180.21963031252</c:v>
                </c:pt>
                <c:pt idx="21">
                  <c:v>-406062.33818247297</c:v>
                </c:pt>
                <c:pt idx="22">
                  <c:v>-396112.20812143409</c:v>
                </c:pt>
                <c:pt idx="23">
                  <c:v>-386368.04258100787</c:v>
                </c:pt>
                <c:pt idx="24">
                  <c:v>-376937.65025123511</c:v>
                </c:pt>
                <c:pt idx="25">
                  <c:v>-368102.47822421021</c:v>
                </c:pt>
              </c:numCache>
            </c:numRef>
          </c:val>
          <c:smooth val="0"/>
        </c:ser>
        <c:ser>
          <c:idx val="3"/>
          <c:order val="1"/>
          <c:tx>
            <c:strRef>
              <c:f>EMP!$B$24</c:f>
              <c:strCache>
                <c:ptCount val="1"/>
                <c:pt idx="0">
                  <c:v>25% (+)</c:v>
                </c:pt>
              </c:strCache>
            </c:strRef>
          </c:tx>
          <c:spPr>
            <a:ln>
              <a:solidFill>
                <a:schemeClr val="tx1"/>
              </a:solidFill>
              <a:prstDash val="sysDash"/>
            </a:ln>
          </c:spPr>
          <c:marker>
            <c:symbol val="none"/>
          </c:marker>
          <c:cat>
            <c:numRef>
              <c:f>EMP!$C$20:$AB$20</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EMP!$C$24:$AB$24</c:f>
              <c:numCache>
                <c:formatCode>General</c:formatCode>
                <c:ptCount val="26"/>
                <c:pt idx="0">
                  <c:v>0</c:v>
                </c:pt>
                <c:pt idx="1">
                  <c:v>-459211.94928488822</c:v>
                </c:pt>
                <c:pt idx="2">
                  <c:v>-699536.45092002442</c:v>
                </c:pt>
                <c:pt idx="3">
                  <c:v>-930930.85731523403</c:v>
                </c:pt>
                <c:pt idx="4">
                  <c:v>-1133881.6403162701</c:v>
                </c:pt>
                <c:pt idx="5">
                  <c:v>-1299688.82723741</c:v>
                </c:pt>
                <c:pt idx="6">
                  <c:v>-1304089.2596781701</c:v>
                </c:pt>
                <c:pt idx="7">
                  <c:v>-1254847.66780898</c:v>
                </c:pt>
                <c:pt idx="8">
                  <c:v>-1201864.7324582101</c:v>
                </c:pt>
                <c:pt idx="9">
                  <c:v>-1140389.3176659499</c:v>
                </c:pt>
                <c:pt idx="10">
                  <c:v>-1076513.5508337</c:v>
                </c:pt>
                <c:pt idx="11">
                  <c:v>-1009207.8836829</c:v>
                </c:pt>
                <c:pt idx="12">
                  <c:v>-947487.52688373497</c:v>
                </c:pt>
                <c:pt idx="13">
                  <c:v>-894196.11380742444</c:v>
                </c:pt>
                <c:pt idx="14">
                  <c:v>-846150.39728464943</c:v>
                </c:pt>
                <c:pt idx="15">
                  <c:v>-802489.33533876389</c:v>
                </c:pt>
                <c:pt idx="16">
                  <c:v>-766479.91701483645</c:v>
                </c:pt>
                <c:pt idx="17">
                  <c:v>-733623.12604713545</c:v>
                </c:pt>
                <c:pt idx="18">
                  <c:v>-708732.0047642499</c:v>
                </c:pt>
                <c:pt idx="19">
                  <c:v>-686349.61806153483</c:v>
                </c:pt>
                <c:pt idx="20">
                  <c:v>-665669.28717392625</c:v>
                </c:pt>
                <c:pt idx="21">
                  <c:v>-645526.67493274726</c:v>
                </c:pt>
                <c:pt idx="22">
                  <c:v>-626163.20395083143</c:v>
                </c:pt>
                <c:pt idx="23">
                  <c:v>-607233.681907319</c:v>
                </c:pt>
                <c:pt idx="24">
                  <c:v>-589109.12439099001</c:v>
                </c:pt>
                <c:pt idx="25">
                  <c:v>-571949.10029487731</c:v>
                </c:pt>
              </c:numCache>
            </c:numRef>
          </c:val>
          <c:smooth val="0"/>
        </c:ser>
        <c:dLbls>
          <c:showLegendKey val="0"/>
          <c:showVal val="0"/>
          <c:showCatName val="0"/>
          <c:showSerName val="0"/>
          <c:showPercent val="0"/>
          <c:showBubbleSize val="0"/>
        </c:dLbls>
        <c:marker val="1"/>
        <c:smooth val="0"/>
        <c:axId val="42889600"/>
        <c:axId val="42891136"/>
      </c:lineChart>
      <c:catAx>
        <c:axId val="42889600"/>
        <c:scaling>
          <c:orientation val="minMax"/>
        </c:scaling>
        <c:delete val="0"/>
        <c:axPos val="b"/>
        <c:numFmt formatCode="General" sourceLinked="1"/>
        <c:majorTickMark val="cross"/>
        <c:minorTickMark val="none"/>
        <c:tickLblPos val="low"/>
        <c:txPr>
          <a:bodyPr rot="-2700000"/>
          <a:lstStyle/>
          <a:p>
            <a:pPr>
              <a:defRPr/>
            </a:pPr>
            <a:endParaRPr lang="en-US"/>
          </a:p>
        </c:txPr>
        <c:crossAx val="42891136"/>
        <c:crosses val="autoZero"/>
        <c:auto val="1"/>
        <c:lblAlgn val="ctr"/>
        <c:lblOffset val="100"/>
        <c:tickLblSkip val="5"/>
        <c:noMultiLvlLbl val="0"/>
      </c:catAx>
      <c:valAx>
        <c:axId val="42891136"/>
        <c:scaling>
          <c:orientation val="minMax"/>
        </c:scaling>
        <c:delete val="0"/>
        <c:axPos val="l"/>
        <c:majorGridlines/>
        <c:numFmt formatCode="#,##0" sourceLinked="0"/>
        <c:majorTickMark val="none"/>
        <c:minorTickMark val="none"/>
        <c:tickLblPos val="nextTo"/>
        <c:crossAx val="42889600"/>
        <c:crosses val="autoZero"/>
        <c:crossBetween val="between"/>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Rest</a:t>
            </a:r>
            <a:r>
              <a:rPr lang="en-US" baseline="0"/>
              <a:t> of USA</a:t>
            </a:r>
            <a:endParaRPr lang="en-US"/>
          </a:p>
        </c:rich>
      </c:tx>
      <c:layout>
        <c:manualLayout>
          <c:xMode val="edge"/>
          <c:yMode val="edge"/>
          <c:x val="0.44077394144590198"/>
          <c:y val="2.6212319790301399E-2"/>
        </c:manualLayout>
      </c:layout>
      <c:overlay val="0"/>
    </c:title>
    <c:autoTitleDeleted val="0"/>
    <c:plotArea>
      <c:layout>
        <c:manualLayout>
          <c:layoutTarget val="inner"/>
          <c:xMode val="edge"/>
          <c:yMode val="edge"/>
          <c:x val="0.24496131067190099"/>
          <c:y val="0.15153097483335601"/>
          <c:w val="0.68830449769885704"/>
          <c:h val="0.54381894923685004"/>
        </c:manualLayout>
      </c:layout>
      <c:lineChart>
        <c:grouping val="standard"/>
        <c:varyColors val="0"/>
        <c:ser>
          <c:idx val="2"/>
          <c:order val="0"/>
          <c:tx>
            <c:strRef>
              <c:f>N!$C$57</c:f>
              <c:strCache>
                <c:ptCount val="1"/>
                <c:pt idx="0">
                  <c:v>10% (+)</c:v>
                </c:pt>
              </c:strCache>
            </c:strRef>
          </c:tx>
          <c:spPr>
            <a:ln>
              <a:solidFill>
                <a:srgbClr val="C00000"/>
              </a:solidFill>
            </a:ln>
          </c:spPr>
          <c:marker>
            <c:symbol val="none"/>
          </c:marker>
          <c:cat>
            <c:numRef>
              <c:f>N!$D$54:$AC$54</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N!$D$57:$AC$57</c:f>
              <c:numCache>
                <c:formatCode>General</c:formatCode>
                <c:ptCount val="26"/>
                <c:pt idx="0">
                  <c:v>0</c:v>
                </c:pt>
                <c:pt idx="1">
                  <c:v>10464</c:v>
                </c:pt>
                <c:pt idx="2">
                  <c:v>22352</c:v>
                </c:pt>
                <c:pt idx="3">
                  <c:v>35840</c:v>
                </c:pt>
                <c:pt idx="4">
                  <c:v>50304</c:v>
                </c:pt>
                <c:pt idx="5">
                  <c:v>66208</c:v>
                </c:pt>
                <c:pt idx="6">
                  <c:v>80464</c:v>
                </c:pt>
                <c:pt idx="7">
                  <c:v>92832</c:v>
                </c:pt>
                <c:pt idx="8">
                  <c:v>103280</c:v>
                </c:pt>
                <c:pt idx="9">
                  <c:v>111776</c:v>
                </c:pt>
                <c:pt idx="10">
                  <c:v>118848</c:v>
                </c:pt>
                <c:pt idx="11">
                  <c:v>124560</c:v>
                </c:pt>
                <c:pt idx="12">
                  <c:v>128624</c:v>
                </c:pt>
                <c:pt idx="13">
                  <c:v>131472</c:v>
                </c:pt>
                <c:pt idx="14">
                  <c:v>133456</c:v>
                </c:pt>
                <c:pt idx="15">
                  <c:v>135040</c:v>
                </c:pt>
                <c:pt idx="16">
                  <c:v>136176</c:v>
                </c:pt>
                <c:pt idx="17">
                  <c:v>136480</c:v>
                </c:pt>
                <c:pt idx="18">
                  <c:v>136576</c:v>
                </c:pt>
                <c:pt idx="19">
                  <c:v>136208</c:v>
                </c:pt>
                <c:pt idx="20">
                  <c:v>135504</c:v>
                </c:pt>
                <c:pt idx="21">
                  <c:v>134688</c:v>
                </c:pt>
                <c:pt idx="22">
                  <c:v>133552</c:v>
                </c:pt>
                <c:pt idx="23">
                  <c:v>132064</c:v>
                </c:pt>
                <c:pt idx="24">
                  <c:v>130560</c:v>
                </c:pt>
                <c:pt idx="25">
                  <c:v>128864</c:v>
                </c:pt>
              </c:numCache>
            </c:numRef>
          </c:val>
          <c:smooth val="0"/>
        </c:ser>
        <c:ser>
          <c:idx val="3"/>
          <c:order val="1"/>
          <c:tx>
            <c:strRef>
              <c:f>N!$C$58</c:f>
              <c:strCache>
                <c:ptCount val="1"/>
                <c:pt idx="0">
                  <c:v>25% (+)</c:v>
                </c:pt>
              </c:strCache>
            </c:strRef>
          </c:tx>
          <c:spPr>
            <a:ln>
              <a:solidFill>
                <a:schemeClr val="tx1"/>
              </a:solidFill>
              <a:prstDash val="sysDash"/>
            </a:ln>
          </c:spPr>
          <c:marker>
            <c:symbol val="none"/>
          </c:marker>
          <c:cat>
            <c:numRef>
              <c:f>N!$D$54:$AC$54</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N!$D$58:$AC$58</c:f>
              <c:numCache>
                <c:formatCode>General</c:formatCode>
                <c:ptCount val="26"/>
                <c:pt idx="0">
                  <c:v>0</c:v>
                </c:pt>
                <c:pt idx="1">
                  <c:v>13184</c:v>
                </c:pt>
                <c:pt idx="2">
                  <c:v>31248</c:v>
                </c:pt>
                <c:pt idx="3">
                  <c:v>54016</c:v>
                </c:pt>
                <c:pt idx="4">
                  <c:v>80192</c:v>
                </c:pt>
                <c:pt idx="5">
                  <c:v>109824</c:v>
                </c:pt>
                <c:pt idx="6">
                  <c:v>136704</c:v>
                </c:pt>
                <c:pt idx="7">
                  <c:v>159872</c:v>
                </c:pt>
                <c:pt idx="8">
                  <c:v>179088</c:v>
                </c:pt>
                <c:pt idx="9">
                  <c:v>194704</c:v>
                </c:pt>
                <c:pt idx="10">
                  <c:v>206992</c:v>
                </c:pt>
                <c:pt idx="11">
                  <c:v>216688</c:v>
                </c:pt>
                <c:pt idx="12">
                  <c:v>223472</c:v>
                </c:pt>
                <c:pt idx="13">
                  <c:v>228160</c:v>
                </c:pt>
                <c:pt idx="14">
                  <c:v>231056</c:v>
                </c:pt>
                <c:pt idx="15">
                  <c:v>232864</c:v>
                </c:pt>
                <c:pt idx="16">
                  <c:v>233616</c:v>
                </c:pt>
                <c:pt idx="17">
                  <c:v>233328</c:v>
                </c:pt>
                <c:pt idx="18">
                  <c:v>232256</c:v>
                </c:pt>
                <c:pt idx="19">
                  <c:v>230528</c:v>
                </c:pt>
                <c:pt idx="20">
                  <c:v>228128</c:v>
                </c:pt>
                <c:pt idx="21">
                  <c:v>225312</c:v>
                </c:pt>
                <c:pt idx="22">
                  <c:v>222240</c:v>
                </c:pt>
                <c:pt idx="23">
                  <c:v>218880</c:v>
                </c:pt>
                <c:pt idx="24">
                  <c:v>215088</c:v>
                </c:pt>
                <c:pt idx="25">
                  <c:v>211328</c:v>
                </c:pt>
              </c:numCache>
            </c:numRef>
          </c:val>
          <c:smooth val="0"/>
        </c:ser>
        <c:dLbls>
          <c:showLegendKey val="0"/>
          <c:showVal val="0"/>
          <c:showCatName val="0"/>
          <c:showSerName val="0"/>
          <c:showPercent val="0"/>
          <c:showBubbleSize val="0"/>
        </c:dLbls>
        <c:marker val="1"/>
        <c:smooth val="0"/>
        <c:axId val="86732800"/>
        <c:axId val="86734336"/>
      </c:lineChart>
      <c:catAx>
        <c:axId val="86732800"/>
        <c:scaling>
          <c:orientation val="minMax"/>
        </c:scaling>
        <c:delete val="0"/>
        <c:axPos val="b"/>
        <c:numFmt formatCode="General" sourceLinked="1"/>
        <c:majorTickMark val="cross"/>
        <c:minorTickMark val="none"/>
        <c:tickLblPos val="low"/>
        <c:txPr>
          <a:bodyPr rot="-2460000"/>
          <a:lstStyle/>
          <a:p>
            <a:pPr>
              <a:defRPr/>
            </a:pPr>
            <a:endParaRPr lang="en-US"/>
          </a:p>
        </c:txPr>
        <c:crossAx val="86734336"/>
        <c:crosses val="autoZero"/>
        <c:auto val="1"/>
        <c:lblAlgn val="ctr"/>
        <c:lblOffset val="100"/>
        <c:noMultiLvlLbl val="0"/>
      </c:catAx>
      <c:valAx>
        <c:axId val="86734336"/>
        <c:scaling>
          <c:orientation val="minMax"/>
          <c:min val="-300000"/>
        </c:scaling>
        <c:delete val="0"/>
        <c:axPos val="l"/>
        <c:majorGridlines/>
        <c:numFmt formatCode="#,##0" sourceLinked="0"/>
        <c:majorTickMark val="none"/>
        <c:minorTickMark val="none"/>
        <c:tickLblPos val="nextTo"/>
        <c:crossAx val="86732800"/>
        <c:crosses val="autoZero"/>
        <c:crossBetween val="between"/>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Co-op </a:t>
            </a:r>
            <a:r>
              <a:rPr lang="en-US" dirty="0" smtClean="0"/>
              <a:t>Nation (and vicinity)</a:t>
            </a:r>
            <a:endParaRPr lang="en-US" dirty="0"/>
          </a:p>
        </c:rich>
      </c:tx>
      <c:layout>
        <c:manualLayout>
          <c:xMode val="edge"/>
          <c:yMode val="edge"/>
          <c:x val="0.26452406178332499"/>
          <c:y val="2.0968357472475999E-2"/>
        </c:manualLayout>
      </c:layout>
      <c:overlay val="0"/>
    </c:title>
    <c:autoTitleDeleted val="0"/>
    <c:plotArea>
      <c:layout>
        <c:manualLayout>
          <c:layoutTarget val="inner"/>
          <c:xMode val="edge"/>
          <c:yMode val="edge"/>
          <c:x val="0.291176861327756"/>
          <c:y val="0.18207624267591499"/>
          <c:w val="0.65619219996829303"/>
          <c:h val="0.64453555102406201"/>
        </c:manualLayout>
      </c:layout>
      <c:lineChart>
        <c:grouping val="standard"/>
        <c:varyColors val="0"/>
        <c:ser>
          <c:idx val="2"/>
          <c:order val="0"/>
          <c:tx>
            <c:strRef>
              <c:f>'EMP %'!$C$16</c:f>
              <c:strCache>
                <c:ptCount val="1"/>
                <c:pt idx="0">
                  <c:v>10% (+)</c:v>
                </c:pt>
              </c:strCache>
            </c:strRef>
          </c:tx>
          <c:spPr>
            <a:ln>
              <a:solidFill>
                <a:srgbClr val="C00000"/>
              </a:solidFill>
            </a:ln>
          </c:spPr>
          <c:marker>
            <c:symbol val="none"/>
          </c:marker>
          <c:cat>
            <c:numRef>
              <c:f>'EMP %'!$D$13:$AC$13</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'EMP %'!$D$16:$AC$16</c:f>
              <c:numCache>
                <c:formatCode>0.00%</c:formatCode>
                <c:ptCount val="26"/>
                <c:pt idx="0">
                  <c:v>0</c:v>
                </c:pt>
                <c:pt idx="1">
                  <c:v>-4.1999999999999997E-3</c:v>
                </c:pt>
                <c:pt idx="2">
                  <c:v>-5.3550000000000004E-3</c:v>
                </c:pt>
                <c:pt idx="3">
                  <c:v>-6.6150000000000002E-3</c:v>
                </c:pt>
                <c:pt idx="4">
                  <c:v>-7.6649999999999999E-3</c:v>
                </c:pt>
                <c:pt idx="5">
                  <c:v>-8.6099999999999996E-3</c:v>
                </c:pt>
                <c:pt idx="6">
                  <c:v>-8.6099999999999996E-3</c:v>
                </c:pt>
                <c:pt idx="7">
                  <c:v>-8.3999999999999995E-3</c:v>
                </c:pt>
                <c:pt idx="8">
                  <c:v>-8.0850000000000193E-3</c:v>
                </c:pt>
                <c:pt idx="9">
                  <c:v>-7.7700000000000304E-3</c:v>
                </c:pt>
                <c:pt idx="10">
                  <c:v>-7.3499999999999998E-3</c:v>
                </c:pt>
                <c:pt idx="11">
                  <c:v>-7.0350000000000204E-3</c:v>
                </c:pt>
                <c:pt idx="12">
                  <c:v>-6.6150000000000002E-3</c:v>
                </c:pt>
                <c:pt idx="13">
                  <c:v>-6.4050000000000201E-3</c:v>
                </c:pt>
                <c:pt idx="14">
                  <c:v>-6.0899999999999999E-3</c:v>
                </c:pt>
                <c:pt idx="15">
                  <c:v>-5.8799999999999998E-3</c:v>
                </c:pt>
                <c:pt idx="16">
                  <c:v>-5.6699999999999997E-3</c:v>
                </c:pt>
                <c:pt idx="17">
                  <c:v>-5.4599999999999996E-3</c:v>
                </c:pt>
                <c:pt idx="18">
                  <c:v>-5.3550000000000004E-3</c:v>
                </c:pt>
                <c:pt idx="19">
                  <c:v>-5.2500000000000099E-3</c:v>
                </c:pt>
                <c:pt idx="20">
                  <c:v>-5.0400000000000097E-3</c:v>
                </c:pt>
                <c:pt idx="21">
                  <c:v>-4.9350000000000201E-3</c:v>
                </c:pt>
                <c:pt idx="22">
                  <c:v>-4.8300000000000096E-3</c:v>
                </c:pt>
                <c:pt idx="23">
                  <c:v>-4.725E-3</c:v>
                </c:pt>
                <c:pt idx="24">
                  <c:v>-4.62E-3</c:v>
                </c:pt>
                <c:pt idx="25">
                  <c:v>-4.5149999999999999E-3</c:v>
                </c:pt>
              </c:numCache>
            </c:numRef>
          </c:val>
          <c:smooth val="0"/>
        </c:ser>
        <c:ser>
          <c:idx val="3"/>
          <c:order val="1"/>
          <c:tx>
            <c:strRef>
              <c:f>'EMP %'!$C$17</c:f>
              <c:strCache>
                <c:ptCount val="1"/>
                <c:pt idx="0">
                  <c:v>25% (+)</c:v>
                </c:pt>
              </c:strCache>
            </c:strRef>
          </c:tx>
          <c:spPr>
            <a:ln>
              <a:solidFill>
                <a:schemeClr val="tx1"/>
              </a:solidFill>
              <a:prstDash val="sysDash"/>
            </a:ln>
          </c:spPr>
          <c:marker>
            <c:symbol val="none"/>
          </c:marker>
          <c:cat>
            <c:numRef>
              <c:f>'EMP %'!$D$13:$AC$13</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'EMP %'!$D$17:$AC$17</c:f>
              <c:numCache>
                <c:formatCode>0.00%</c:formatCode>
                <c:ptCount val="26"/>
                <c:pt idx="0">
                  <c:v>0</c:v>
                </c:pt>
                <c:pt idx="1">
                  <c:v>-5.5649999999999996E-3</c:v>
                </c:pt>
                <c:pt idx="2">
                  <c:v>-8.2950000000000194E-3</c:v>
                </c:pt>
                <c:pt idx="3">
                  <c:v>-1.0919999999999999E-2</c:v>
                </c:pt>
                <c:pt idx="4">
                  <c:v>-1.3335E-2</c:v>
                </c:pt>
                <c:pt idx="5">
                  <c:v>-1.5435000000000001E-2</c:v>
                </c:pt>
                <c:pt idx="6">
                  <c:v>-1.5435000000000001E-2</c:v>
                </c:pt>
                <c:pt idx="7">
                  <c:v>-1.491E-2</c:v>
                </c:pt>
                <c:pt idx="8">
                  <c:v>-1.42799999999999E-2</c:v>
                </c:pt>
                <c:pt idx="9">
                  <c:v>-1.3545E-2</c:v>
                </c:pt>
                <c:pt idx="10">
                  <c:v>-1.281E-2</c:v>
                </c:pt>
                <c:pt idx="11">
                  <c:v>-1.2075000000000001E-2</c:v>
                </c:pt>
                <c:pt idx="12">
                  <c:v>-1.1339999999999999E-2</c:v>
                </c:pt>
                <c:pt idx="13">
                  <c:v>-1.0710000000000001E-2</c:v>
                </c:pt>
                <c:pt idx="14">
                  <c:v>-1.0185E-2</c:v>
                </c:pt>
                <c:pt idx="15">
                  <c:v>-9.6600000000000193E-3</c:v>
                </c:pt>
                <c:pt idx="16">
                  <c:v>-9.2399999999999999E-3</c:v>
                </c:pt>
                <c:pt idx="17">
                  <c:v>-8.9250000000000301E-3</c:v>
                </c:pt>
                <c:pt idx="18">
                  <c:v>-8.6099999999999996E-3</c:v>
                </c:pt>
                <c:pt idx="19">
                  <c:v>-8.2950000000000194E-3</c:v>
                </c:pt>
                <c:pt idx="20">
                  <c:v>-8.0850000000000193E-3</c:v>
                </c:pt>
                <c:pt idx="21">
                  <c:v>-7.8750000000000105E-3</c:v>
                </c:pt>
                <c:pt idx="22">
                  <c:v>-7.5599999999999999E-3</c:v>
                </c:pt>
                <c:pt idx="23">
                  <c:v>-7.3499999999999998E-3</c:v>
                </c:pt>
                <c:pt idx="24">
                  <c:v>-7.1399999999999996E-3</c:v>
                </c:pt>
                <c:pt idx="25">
                  <c:v>-6.9300000000000299E-3</c:v>
                </c:pt>
              </c:numCache>
            </c:numRef>
          </c:val>
          <c:smooth val="0"/>
        </c:ser>
        <c:dLbls>
          <c:showLegendKey val="0"/>
          <c:showVal val="0"/>
          <c:showCatName val="0"/>
          <c:showSerName val="0"/>
          <c:showPercent val="0"/>
          <c:showBubbleSize val="0"/>
        </c:dLbls>
        <c:marker val="1"/>
        <c:smooth val="0"/>
        <c:axId val="42924672"/>
        <c:axId val="83362176"/>
      </c:lineChart>
      <c:catAx>
        <c:axId val="42924672"/>
        <c:scaling>
          <c:orientation val="minMax"/>
        </c:scaling>
        <c:delete val="0"/>
        <c:axPos val="b"/>
        <c:numFmt formatCode="General" sourceLinked="1"/>
        <c:majorTickMark val="cross"/>
        <c:minorTickMark val="none"/>
        <c:tickLblPos val="low"/>
        <c:txPr>
          <a:bodyPr rot="-2340000" vert="horz"/>
          <a:lstStyle/>
          <a:p>
            <a:pPr>
              <a:defRPr/>
            </a:pPr>
            <a:endParaRPr lang="en-US"/>
          </a:p>
        </c:txPr>
        <c:crossAx val="83362176"/>
        <c:crosses val="autoZero"/>
        <c:auto val="1"/>
        <c:lblAlgn val="ctr"/>
        <c:lblOffset val="100"/>
        <c:noMultiLvlLbl val="0"/>
      </c:catAx>
      <c:valAx>
        <c:axId val="83362176"/>
        <c:scaling>
          <c:orientation val="minMax"/>
        </c:scaling>
        <c:delete val="0"/>
        <c:axPos val="l"/>
        <c:majorGridlines/>
        <c:title>
          <c:tx>
            <c:rich>
              <a:bodyPr/>
              <a:lstStyle/>
              <a:p>
                <a:pPr>
                  <a:defRPr sz="1200"/>
                </a:pPr>
                <a:r>
                  <a:rPr lang="en-US" sz="1200"/>
                  <a:t>Percentage</a:t>
                </a:r>
                <a:r>
                  <a:rPr lang="en-US" sz="1200" baseline="0"/>
                  <a:t> from baseline</a:t>
                </a:r>
                <a:endParaRPr lang="en-US" sz="1200"/>
              </a:p>
            </c:rich>
          </c:tx>
          <c:layout>
            <c:manualLayout>
              <c:xMode val="edge"/>
              <c:yMode val="edge"/>
              <c:x val="4.2447302924297999E-2"/>
              <c:y val="0.182093370107621"/>
            </c:manualLayout>
          </c:layout>
          <c:overlay val="0"/>
        </c:title>
        <c:numFmt formatCode="0.0%" sourceLinked="0"/>
        <c:majorTickMark val="none"/>
        <c:minorTickMark val="none"/>
        <c:tickLblPos val="nextTo"/>
        <c:crossAx val="42924672"/>
        <c:crosses val="autoZero"/>
        <c:crossBetween val="between"/>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Rest</a:t>
            </a:r>
            <a:r>
              <a:rPr lang="en-US" baseline="0"/>
              <a:t> of USA</a:t>
            </a:r>
            <a:endParaRPr lang="en-US"/>
          </a:p>
        </c:rich>
      </c:tx>
      <c:layout>
        <c:manualLayout>
          <c:xMode val="edge"/>
          <c:yMode val="edge"/>
          <c:x val="0.38103965890086899"/>
          <c:y val="0"/>
        </c:manualLayout>
      </c:layout>
      <c:overlay val="0"/>
    </c:title>
    <c:autoTitleDeleted val="0"/>
    <c:plotArea>
      <c:layout>
        <c:manualLayout>
          <c:layoutTarget val="inner"/>
          <c:xMode val="edge"/>
          <c:yMode val="edge"/>
          <c:x val="0.19521640051460501"/>
          <c:y val="0.16243617720631001"/>
          <c:w val="0.71750197155048301"/>
          <c:h val="0.66561707793994396"/>
        </c:manualLayout>
      </c:layout>
      <c:lineChart>
        <c:grouping val="standard"/>
        <c:varyColors val="0"/>
        <c:ser>
          <c:idx val="2"/>
          <c:order val="0"/>
          <c:tx>
            <c:strRef>
              <c:f>'EMP %'!$C$23</c:f>
              <c:strCache>
                <c:ptCount val="1"/>
                <c:pt idx="0">
                  <c:v>10% (+)</c:v>
                </c:pt>
              </c:strCache>
            </c:strRef>
          </c:tx>
          <c:spPr>
            <a:ln>
              <a:solidFill>
                <a:srgbClr val="C00000"/>
              </a:solidFill>
            </a:ln>
          </c:spPr>
          <c:marker>
            <c:symbol val="none"/>
          </c:marker>
          <c:cat>
            <c:numRef>
              <c:f>'EMP %'!$D$20:$AC$20</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'EMP %'!$D$23:$AC$23</c:f>
              <c:numCache>
                <c:formatCode>0.00%</c:formatCode>
                <c:ptCount val="26"/>
                <c:pt idx="0">
                  <c:v>0</c:v>
                </c:pt>
                <c:pt idx="1">
                  <c:v>-2.56500000000001E-3</c:v>
                </c:pt>
                <c:pt idx="2">
                  <c:v>-3.3249999999999998E-3</c:v>
                </c:pt>
                <c:pt idx="3">
                  <c:v>-4.0850000000000096E-3</c:v>
                </c:pt>
                <c:pt idx="4">
                  <c:v>-4.7499999999999999E-3</c:v>
                </c:pt>
                <c:pt idx="5">
                  <c:v>-5.2249999999999996E-3</c:v>
                </c:pt>
                <c:pt idx="6">
                  <c:v>-5.2249999999999996E-3</c:v>
                </c:pt>
                <c:pt idx="7">
                  <c:v>-5.03500000000001E-3</c:v>
                </c:pt>
                <c:pt idx="8">
                  <c:v>-4.8450000000000003E-3</c:v>
                </c:pt>
                <c:pt idx="9">
                  <c:v>-4.6550000000000003E-3</c:v>
                </c:pt>
                <c:pt idx="10">
                  <c:v>-4.3699999999999998E-3</c:v>
                </c:pt>
                <c:pt idx="11">
                  <c:v>-4.1799999999999997E-3</c:v>
                </c:pt>
                <c:pt idx="12">
                  <c:v>-3.895E-3</c:v>
                </c:pt>
                <c:pt idx="13">
                  <c:v>-3.7050000000000099E-3</c:v>
                </c:pt>
                <c:pt idx="14">
                  <c:v>-3.5149999999999999E-3</c:v>
                </c:pt>
                <c:pt idx="15">
                  <c:v>-3.4199999999999999E-3</c:v>
                </c:pt>
                <c:pt idx="16">
                  <c:v>-3.2300000000000102E-3</c:v>
                </c:pt>
                <c:pt idx="17">
                  <c:v>-3.1350000000000002E-3</c:v>
                </c:pt>
                <c:pt idx="18">
                  <c:v>-3.0400000000000101E-3</c:v>
                </c:pt>
                <c:pt idx="19">
                  <c:v>-2.9450000000000001E-3</c:v>
                </c:pt>
                <c:pt idx="20">
                  <c:v>-2.8500000000000001E-3</c:v>
                </c:pt>
                <c:pt idx="21">
                  <c:v>-2.75500000000001E-3</c:v>
                </c:pt>
                <c:pt idx="22">
                  <c:v>-2.66000000000001E-3</c:v>
                </c:pt>
                <c:pt idx="23">
                  <c:v>-2.56500000000001E-3</c:v>
                </c:pt>
                <c:pt idx="24">
                  <c:v>-2.56500000000001E-3</c:v>
                </c:pt>
                <c:pt idx="25">
                  <c:v>-2.47E-3</c:v>
                </c:pt>
              </c:numCache>
            </c:numRef>
          </c:val>
          <c:smooth val="0"/>
        </c:ser>
        <c:ser>
          <c:idx val="3"/>
          <c:order val="1"/>
          <c:tx>
            <c:strRef>
              <c:f>'EMP %'!$C$24</c:f>
              <c:strCache>
                <c:ptCount val="1"/>
                <c:pt idx="0">
                  <c:v>25% (+)</c:v>
                </c:pt>
              </c:strCache>
            </c:strRef>
          </c:tx>
          <c:spPr>
            <a:ln>
              <a:solidFill>
                <a:schemeClr val="tx1"/>
              </a:solidFill>
              <a:prstDash val="sysDash"/>
            </a:ln>
          </c:spPr>
          <c:marker>
            <c:symbol val="none"/>
          </c:marker>
          <c:cat>
            <c:numRef>
              <c:f>'EMP %'!$D$20:$AC$20</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'EMP %'!$D$24:$AC$24</c:f>
              <c:numCache>
                <c:formatCode>0.00%</c:formatCode>
                <c:ptCount val="26"/>
                <c:pt idx="0">
                  <c:v>0</c:v>
                </c:pt>
                <c:pt idx="1">
                  <c:v>-3.4199999999999999E-3</c:v>
                </c:pt>
                <c:pt idx="2">
                  <c:v>-5.1300000000000104E-3</c:v>
                </c:pt>
                <c:pt idx="3">
                  <c:v>-6.8400000000000197E-3</c:v>
                </c:pt>
                <c:pt idx="4">
                  <c:v>-8.2650000000000102E-3</c:v>
                </c:pt>
                <c:pt idx="5">
                  <c:v>-9.4050000000000591E-3</c:v>
                </c:pt>
                <c:pt idx="6">
                  <c:v>-9.4050000000000591E-3</c:v>
                </c:pt>
                <c:pt idx="7">
                  <c:v>-9.0250000000000209E-3</c:v>
                </c:pt>
                <c:pt idx="8">
                  <c:v>-8.5500000000000194E-3</c:v>
                </c:pt>
                <c:pt idx="9">
                  <c:v>-8.1700000000000193E-3</c:v>
                </c:pt>
                <c:pt idx="10">
                  <c:v>-7.6949999999999996E-3</c:v>
                </c:pt>
                <c:pt idx="11">
                  <c:v>-7.1250000000000003E-3</c:v>
                </c:pt>
                <c:pt idx="12">
                  <c:v>-6.7450000000000201E-3</c:v>
                </c:pt>
                <c:pt idx="13">
                  <c:v>-6.365E-3</c:v>
                </c:pt>
                <c:pt idx="14">
                  <c:v>-5.9850000000000198E-3</c:v>
                </c:pt>
                <c:pt idx="15">
                  <c:v>-5.6049999999999997E-3</c:v>
                </c:pt>
                <c:pt idx="16">
                  <c:v>-5.3200000000000001E-3</c:v>
                </c:pt>
                <c:pt idx="17">
                  <c:v>-5.1300000000000104E-3</c:v>
                </c:pt>
                <c:pt idx="18">
                  <c:v>-4.9400000000000199E-3</c:v>
                </c:pt>
                <c:pt idx="19">
                  <c:v>-4.7499999999999999E-3</c:v>
                </c:pt>
                <c:pt idx="20">
                  <c:v>-4.5599999999999998E-3</c:v>
                </c:pt>
                <c:pt idx="21">
                  <c:v>-4.3699999999999998E-3</c:v>
                </c:pt>
                <c:pt idx="22">
                  <c:v>-4.2750000000000002E-3</c:v>
                </c:pt>
                <c:pt idx="23">
                  <c:v>-4.0850000000000096E-3</c:v>
                </c:pt>
                <c:pt idx="24">
                  <c:v>-3.9899999999999996E-3</c:v>
                </c:pt>
                <c:pt idx="25">
                  <c:v>-3.8E-3</c:v>
                </c:pt>
              </c:numCache>
            </c:numRef>
          </c:val>
          <c:smooth val="0"/>
        </c:ser>
        <c:dLbls>
          <c:showLegendKey val="0"/>
          <c:showVal val="0"/>
          <c:showCatName val="0"/>
          <c:showSerName val="0"/>
          <c:showPercent val="0"/>
          <c:showBubbleSize val="0"/>
        </c:dLbls>
        <c:marker val="1"/>
        <c:smooth val="0"/>
        <c:axId val="83392384"/>
        <c:axId val="83393920"/>
      </c:lineChart>
      <c:catAx>
        <c:axId val="83392384"/>
        <c:scaling>
          <c:orientation val="minMax"/>
        </c:scaling>
        <c:delete val="0"/>
        <c:axPos val="b"/>
        <c:numFmt formatCode="General" sourceLinked="1"/>
        <c:majorTickMark val="cross"/>
        <c:minorTickMark val="none"/>
        <c:tickLblPos val="low"/>
        <c:txPr>
          <a:bodyPr rot="-2400000"/>
          <a:lstStyle/>
          <a:p>
            <a:pPr>
              <a:defRPr/>
            </a:pPr>
            <a:endParaRPr lang="en-US"/>
          </a:p>
        </c:txPr>
        <c:crossAx val="83393920"/>
        <c:crosses val="autoZero"/>
        <c:auto val="1"/>
        <c:lblAlgn val="ctr"/>
        <c:lblOffset val="100"/>
        <c:tickLblSkip val="5"/>
        <c:noMultiLvlLbl val="0"/>
      </c:catAx>
      <c:valAx>
        <c:axId val="83393920"/>
        <c:scaling>
          <c:orientation val="minMax"/>
          <c:max val="0"/>
          <c:min val="-1.7999999999999999E-2"/>
        </c:scaling>
        <c:delete val="0"/>
        <c:axPos val="l"/>
        <c:majorGridlines/>
        <c:numFmt formatCode="0.0%" sourceLinked="0"/>
        <c:majorTickMark val="none"/>
        <c:minorTickMark val="none"/>
        <c:tickLblPos val="nextTo"/>
        <c:crossAx val="83392384"/>
        <c:crosses val="autoZero"/>
        <c:crossBetween val="between"/>
        <c:majorUnit val="2E-3"/>
        <c:minorUnit val="1E-3"/>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C00000"/>
            </a:solidFill>
          </c:spPr>
          <c:invertIfNegative val="0"/>
          <c:dLbls>
            <c:delete val="1"/>
          </c:dLbls>
          <c:cat>
            <c:strRef>
              <c:f>'EMP 10%+'!$AF$54:$AF$76</c:f>
              <c:strCache>
                <c:ptCount val="23"/>
                <c:pt idx="0">
                  <c:v>State and Local Government</c:v>
                </c:pt>
                <c:pt idx="1">
                  <c:v>Construction</c:v>
                </c:pt>
                <c:pt idx="2">
                  <c:v>Retail Trade</c:v>
                </c:pt>
                <c:pt idx="3">
                  <c:v>Manufacturing</c:v>
                </c:pt>
                <c:pt idx="4">
                  <c:v>Health Care and Social Assistance</c:v>
                </c:pt>
                <c:pt idx="5">
                  <c:v>Other Services, except Public Administration</c:v>
                </c:pt>
                <c:pt idx="6">
                  <c:v>Administrative and Waste Management Services</c:v>
                </c:pt>
                <c:pt idx="7">
                  <c:v>Finance and Insurance</c:v>
                </c:pt>
                <c:pt idx="8">
                  <c:v>Accommodation and Food Services</c:v>
                </c:pt>
                <c:pt idx="9">
                  <c:v>Real Estate and Rental and Leasing</c:v>
                </c:pt>
                <c:pt idx="10">
                  <c:v>Wholesale Trade</c:v>
                </c:pt>
                <c:pt idx="11">
                  <c:v>Mining</c:v>
                </c:pt>
                <c:pt idx="12">
                  <c:v>Transportation and Warehousing</c:v>
                </c:pt>
                <c:pt idx="13">
                  <c:v>Professional, Scientific, and Technical Services</c:v>
                </c:pt>
                <c:pt idx="14">
                  <c:v>Utilities</c:v>
                </c:pt>
                <c:pt idx="15">
                  <c:v>Arts, Entertainment, and Recreation</c:v>
                </c:pt>
                <c:pt idx="16">
                  <c:v>Information</c:v>
                </c:pt>
                <c:pt idx="17">
                  <c:v>Management of Companies and Enterprises</c:v>
                </c:pt>
                <c:pt idx="18">
                  <c:v>Farm</c:v>
                </c:pt>
                <c:pt idx="19">
                  <c:v>Educational Services</c:v>
                </c:pt>
                <c:pt idx="20">
                  <c:v>Forestry, Fishing, and Related Activities</c:v>
                </c:pt>
                <c:pt idx="21">
                  <c:v>Federal Civilian</c:v>
                </c:pt>
                <c:pt idx="22">
                  <c:v>Federal Military</c:v>
                </c:pt>
              </c:strCache>
            </c:strRef>
          </c:cat>
          <c:val>
            <c:numRef>
              <c:f>'EMP 10%+'!$AG$54:$AG$76</c:f>
              <c:numCache>
                <c:formatCode>General</c:formatCode>
                <c:ptCount val="23"/>
                <c:pt idx="0">
                  <c:v>-128434.6373355125</c:v>
                </c:pt>
                <c:pt idx="1">
                  <c:v>-49695.601973058598</c:v>
                </c:pt>
                <c:pt idx="2">
                  <c:v>-34528.24895651605</c:v>
                </c:pt>
                <c:pt idx="3">
                  <c:v>-23321.67364680726</c:v>
                </c:pt>
                <c:pt idx="4">
                  <c:v>-20892.971962720469</c:v>
                </c:pt>
                <c:pt idx="5">
                  <c:v>-14368.9491526322</c:v>
                </c:pt>
                <c:pt idx="6">
                  <c:v>-13177.5025225019</c:v>
                </c:pt>
                <c:pt idx="7">
                  <c:v>-12279.428096410131</c:v>
                </c:pt>
                <c:pt idx="8">
                  <c:v>-10003.083332236651</c:v>
                </c:pt>
                <c:pt idx="9">
                  <c:v>-8598.714365067206</c:v>
                </c:pt>
                <c:pt idx="10">
                  <c:v>-7708.0252202916099</c:v>
                </c:pt>
                <c:pt idx="11">
                  <c:v>-7456.75505228569</c:v>
                </c:pt>
                <c:pt idx="12">
                  <c:v>-7345.4206697955397</c:v>
                </c:pt>
                <c:pt idx="13">
                  <c:v>-4706.8276722784904</c:v>
                </c:pt>
                <c:pt idx="14">
                  <c:v>-4434.4763014323862</c:v>
                </c:pt>
                <c:pt idx="15">
                  <c:v>-4372.8446614883251</c:v>
                </c:pt>
                <c:pt idx="16">
                  <c:v>-3172.2205734324498</c:v>
                </c:pt>
                <c:pt idx="17">
                  <c:v>-1869.7835736608531</c:v>
                </c:pt>
                <c:pt idx="18">
                  <c:v>-1731.143457305388</c:v>
                </c:pt>
                <c:pt idx="19">
                  <c:v>-1243.792469713821</c:v>
                </c:pt>
                <c:pt idx="20">
                  <c:v>-953.18639619823978</c:v>
                </c:pt>
                <c:pt idx="21">
                  <c:v>-384.12419646806131</c:v>
                </c:pt>
                <c:pt idx="22">
                  <c:v>-204.92025752145079</c:v>
                </c:pt>
              </c:numCache>
            </c:numRef>
          </c:val>
        </c:ser>
        <c:dLbls>
          <c:showLegendKey val="0"/>
          <c:showVal val="1"/>
          <c:showCatName val="0"/>
          <c:showSerName val="0"/>
          <c:showPercent val="0"/>
          <c:showBubbleSize val="0"/>
        </c:dLbls>
        <c:gapWidth val="75"/>
        <c:axId val="84288256"/>
        <c:axId val="84289792"/>
      </c:barChart>
      <c:catAx>
        <c:axId val="84288256"/>
        <c:scaling>
          <c:orientation val="minMax"/>
        </c:scaling>
        <c:delete val="0"/>
        <c:axPos val="l"/>
        <c:numFmt formatCode="General" sourceLinked="0"/>
        <c:majorTickMark val="cross"/>
        <c:minorTickMark val="none"/>
        <c:tickLblPos val="low"/>
        <c:txPr>
          <a:bodyPr/>
          <a:lstStyle/>
          <a:p>
            <a:pPr>
              <a:defRPr sz="600" b="1"/>
            </a:pPr>
            <a:endParaRPr lang="en-US"/>
          </a:p>
        </c:txPr>
        <c:crossAx val="84289792"/>
        <c:crosses val="autoZero"/>
        <c:auto val="1"/>
        <c:lblAlgn val="ctr"/>
        <c:lblOffset val="100"/>
        <c:noMultiLvlLbl val="0"/>
      </c:catAx>
      <c:valAx>
        <c:axId val="84289792"/>
        <c:scaling>
          <c:orientation val="minMax"/>
          <c:max val="50000"/>
          <c:min val="-200000"/>
        </c:scaling>
        <c:delete val="0"/>
        <c:axPos val="b"/>
        <c:majorGridlines/>
        <c:numFmt formatCode="#,##0" sourceLinked="0"/>
        <c:majorTickMark val="none"/>
        <c:minorTickMark val="none"/>
        <c:tickLblPos val="nextTo"/>
        <c:crossAx val="84288256"/>
        <c:crosses val="autoZero"/>
        <c:crossBetween val="between"/>
      </c:valAx>
    </c:plotArea>
    <c:plotVisOnly val="1"/>
    <c:dispBlanksAs val="gap"/>
    <c:showDLblsOverMax val="0"/>
  </c:chart>
  <c:spPr>
    <a:noFill/>
    <a:ln>
      <a:noFill/>
    </a:ln>
  </c:spPr>
  <c:txPr>
    <a:bodyPr/>
    <a:lstStyle/>
    <a:p>
      <a:pPr>
        <a:defRPr>
          <a:latin typeface="Calibri"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ysClr val="windowText" lastClr="000000"/>
            </a:solidFill>
          </c:spPr>
          <c:invertIfNegative val="0"/>
          <c:dLbls>
            <c:delete val="1"/>
          </c:dLbls>
          <c:cat>
            <c:strRef>
              <c:f>'EMP 10%+'!$AF$79:$AF$101</c:f>
              <c:strCache>
                <c:ptCount val="23"/>
                <c:pt idx="0">
                  <c:v>State and Local Government</c:v>
                </c:pt>
                <c:pt idx="1">
                  <c:v>Construction</c:v>
                </c:pt>
                <c:pt idx="2">
                  <c:v>Retail Trade</c:v>
                </c:pt>
                <c:pt idx="3">
                  <c:v>Health Care and Social Assistance</c:v>
                </c:pt>
                <c:pt idx="4">
                  <c:v>Manufacturing</c:v>
                </c:pt>
                <c:pt idx="5">
                  <c:v>Other Services, except Public Administration</c:v>
                </c:pt>
                <c:pt idx="6">
                  <c:v>Finance and Insurance</c:v>
                </c:pt>
                <c:pt idx="7">
                  <c:v>Administrative and Waste Management Services</c:v>
                </c:pt>
                <c:pt idx="8">
                  <c:v>Real Estate and Rental and Leasing</c:v>
                </c:pt>
                <c:pt idx="9">
                  <c:v>Wholesale Trade</c:v>
                </c:pt>
                <c:pt idx="10">
                  <c:v>Accommodation and Food Services</c:v>
                </c:pt>
                <c:pt idx="11">
                  <c:v>Transportation and Warehousing</c:v>
                </c:pt>
                <c:pt idx="12">
                  <c:v>Arts, Entertainment, and Recreation</c:v>
                </c:pt>
                <c:pt idx="13">
                  <c:v>Information</c:v>
                </c:pt>
                <c:pt idx="14">
                  <c:v>Utilities</c:v>
                </c:pt>
                <c:pt idx="15">
                  <c:v>Mining</c:v>
                </c:pt>
                <c:pt idx="16">
                  <c:v>Management of Companies and Enterprises</c:v>
                </c:pt>
                <c:pt idx="17">
                  <c:v>Educational Services</c:v>
                </c:pt>
                <c:pt idx="18">
                  <c:v>Forestry, Fishing, and Related Activities</c:v>
                </c:pt>
                <c:pt idx="19">
                  <c:v>Farm</c:v>
                </c:pt>
                <c:pt idx="20">
                  <c:v>Federal Civilian</c:v>
                </c:pt>
                <c:pt idx="21">
                  <c:v>Federal Military</c:v>
                </c:pt>
                <c:pt idx="22">
                  <c:v>Professional, Scientific, and Technical Services</c:v>
                </c:pt>
              </c:strCache>
            </c:strRef>
          </c:cat>
          <c:val>
            <c:numRef>
              <c:f>'EMP 10%+'!$AG$79:$AG$101</c:f>
              <c:numCache>
                <c:formatCode>General</c:formatCode>
                <c:ptCount val="23"/>
                <c:pt idx="0">
                  <c:v>-161642.16266448781</c:v>
                </c:pt>
                <c:pt idx="1">
                  <c:v>-67940.718026941424</c:v>
                </c:pt>
                <c:pt idx="2">
                  <c:v>-53384.51104348393</c:v>
                </c:pt>
                <c:pt idx="3">
                  <c:v>-38635.868037279703</c:v>
                </c:pt>
                <c:pt idx="4">
                  <c:v>-32162.246353192651</c:v>
                </c:pt>
                <c:pt idx="5">
                  <c:v>-28002.93084736781</c:v>
                </c:pt>
                <c:pt idx="6">
                  <c:v>-27994.051903589861</c:v>
                </c:pt>
                <c:pt idx="7">
                  <c:v>-26094.0574774981</c:v>
                </c:pt>
                <c:pt idx="8">
                  <c:v>-16223.845634932781</c:v>
                </c:pt>
                <c:pt idx="9">
                  <c:v>-16191.81477970842</c:v>
                </c:pt>
                <c:pt idx="10">
                  <c:v>-14957.396667763311</c:v>
                </c:pt>
                <c:pt idx="11">
                  <c:v>-13155.539330204479</c:v>
                </c:pt>
                <c:pt idx="12">
                  <c:v>-10852.275338511699</c:v>
                </c:pt>
                <c:pt idx="13">
                  <c:v>-8766.2994265675516</c:v>
                </c:pt>
                <c:pt idx="14">
                  <c:v>-5732.443698567633</c:v>
                </c:pt>
                <c:pt idx="15">
                  <c:v>-5496.4849477142861</c:v>
                </c:pt>
                <c:pt idx="16">
                  <c:v>-4620.5364263391484</c:v>
                </c:pt>
                <c:pt idx="17">
                  <c:v>-2801.8875302861902</c:v>
                </c:pt>
                <c:pt idx="18">
                  <c:v>-882.57360380176021</c:v>
                </c:pt>
                <c:pt idx="19">
                  <c:v>-877.97654269461111</c:v>
                </c:pt>
                <c:pt idx="20">
                  <c:v>-841.55580353193841</c:v>
                </c:pt>
                <c:pt idx="21">
                  <c:v>-312.67974247854909</c:v>
                </c:pt>
                <c:pt idx="22">
                  <c:v>23286.30767227849</c:v>
                </c:pt>
              </c:numCache>
            </c:numRef>
          </c:val>
        </c:ser>
        <c:dLbls>
          <c:showLegendKey val="0"/>
          <c:showVal val="1"/>
          <c:showCatName val="0"/>
          <c:showSerName val="0"/>
          <c:showPercent val="0"/>
          <c:showBubbleSize val="0"/>
        </c:dLbls>
        <c:gapWidth val="75"/>
        <c:axId val="84311040"/>
        <c:axId val="84321024"/>
      </c:barChart>
      <c:catAx>
        <c:axId val="84311040"/>
        <c:scaling>
          <c:orientation val="minMax"/>
        </c:scaling>
        <c:delete val="0"/>
        <c:axPos val="l"/>
        <c:numFmt formatCode="General" sourceLinked="0"/>
        <c:majorTickMark val="cross"/>
        <c:minorTickMark val="none"/>
        <c:tickLblPos val="low"/>
        <c:txPr>
          <a:bodyPr/>
          <a:lstStyle/>
          <a:p>
            <a:pPr>
              <a:defRPr sz="600" b="1"/>
            </a:pPr>
            <a:endParaRPr lang="en-US"/>
          </a:p>
        </c:txPr>
        <c:crossAx val="84321024"/>
        <c:crosses val="autoZero"/>
        <c:auto val="1"/>
        <c:lblAlgn val="ctr"/>
        <c:lblOffset val="100"/>
        <c:noMultiLvlLbl val="0"/>
      </c:catAx>
      <c:valAx>
        <c:axId val="84321024"/>
        <c:scaling>
          <c:orientation val="minMax"/>
        </c:scaling>
        <c:delete val="0"/>
        <c:axPos val="b"/>
        <c:majorGridlines/>
        <c:numFmt formatCode="#,##0" sourceLinked="0"/>
        <c:majorTickMark val="none"/>
        <c:minorTickMark val="none"/>
        <c:tickLblPos val="nextTo"/>
        <c:crossAx val="84311040"/>
        <c:crosses val="autoZero"/>
        <c:crossBetween val="between"/>
      </c:valAx>
    </c:plotArea>
    <c:plotVisOnly val="1"/>
    <c:dispBlanksAs val="gap"/>
    <c:showDLblsOverMax val="0"/>
  </c:chart>
  <c:spPr>
    <a:noFill/>
    <a:ln>
      <a:noFill/>
    </a:ln>
  </c:spPr>
  <c:txPr>
    <a:bodyPr/>
    <a:lstStyle/>
    <a:p>
      <a:pPr>
        <a:defRPr>
          <a:latin typeface="Calibri"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C00000"/>
            </a:solidFill>
          </c:spPr>
          <c:invertIfNegative val="0"/>
          <c:dLbls>
            <c:delete val="1"/>
          </c:dLbls>
          <c:cat>
            <c:strRef>
              <c:f>'EMP 25%+'!$AF$54:$AF$76</c:f>
              <c:strCache>
                <c:ptCount val="23"/>
                <c:pt idx="0">
                  <c:v>State and Local Government</c:v>
                </c:pt>
                <c:pt idx="1">
                  <c:v>Construction</c:v>
                </c:pt>
                <c:pt idx="2">
                  <c:v>Retail Trade</c:v>
                </c:pt>
                <c:pt idx="3">
                  <c:v>Manufacturing</c:v>
                </c:pt>
                <c:pt idx="4">
                  <c:v>Health Care and Social Assistance</c:v>
                </c:pt>
                <c:pt idx="5">
                  <c:v>Other Services, except Public Administration</c:v>
                </c:pt>
                <c:pt idx="6">
                  <c:v>Finance and Insurance</c:v>
                </c:pt>
                <c:pt idx="7">
                  <c:v>Administrative and Waste Management Services</c:v>
                </c:pt>
                <c:pt idx="8">
                  <c:v>Accommodation and Food Services</c:v>
                </c:pt>
                <c:pt idx="9">
                  <c:v>Real Estate and Rental and Leasing</c:v>
                </c:pt>
                <c:pt idx="10">
                  <c:v>Wholesale Trade</c:v>
                </c:pt>
                <c:pt idx="11">
                  <c:v>Mining</c:v>
                </c:pt>
                <c:pt idx="12">
                  <c:v>Transportation and Warehousing</c:v>
                </c:pt>
                <c:pt idx="13">
                  <c:v>Utilities</c:v>
                </c:pt>
                <c:pt idx="14">
                  <c:v>Arts, Entertainment, and Recreation</c:v>
                </c:pt>
                <c:pt idx="15">
                  <c:v>Professional, Scientific, and Technical Services</c:v>
                </c:pt>
                <c:pt idx="16">
                  <c:v>Information</c:v>
                </c:pt>
                <c:pt idx="17">
                  <c:v>Farm</c:v>
                </c:pt>
                <c:pt idx="18">
                  <c:v>Management of Companies and Enterprises</c:v>
                </c:pt>
                <c:pt idx="19">
                  <c:v>Forestry, Fishing, and Related Activities</c:v>
                </c:pt>
                <c:pt idx="20">
                  <c:v>Educational Services</c:v>
                </c:pt>
                <c:pt idx="21">
                  <c:v>Federal Civilian</c:v>
                </c:pt>
                <c:pt idx="22">
                  <c:v>Federal Military</c:v>
                </c:pt>
              </c:strCache>
            </c:strRef>
          </c:cat>
          <c:val>
            <c:numRef>
              <c:f>'EMP 25%+'!$AG$54:$AG$76</c:f>
              <c:numCache>
                <c:formatCode>"$"#,##0</c:formatCode>
                <c:ptCount val="23"/>
                <c:pt idx="0">
                  <c:v>-162505.21960928899</c:v>
                </c:pt>
                <c:pt idx="1">
                  <c:v>-91515.508198936295</c:v>
                </c:pt>
                <c:pt idx="2">
                  <c:v>-67966.414158439176</c:v>
                </c:pt>
                <c:pt idx="3">
                  <c:v>-49927.537059993003</c:v>
                </c:pt>
                <c:pt idx="4">
                  <c:v>-38202.083444868193</c:v>
                </c:pt>
                <c:pt idx="5">
                  <c:v>-27691.801127274921</c:v>
                </c:pt>
                <c:pt idx="6">
                  <c:v>-23830.79172766643</c:v>
                </c:pt>
                <c:pt idx="7">
                  <c:v>-19907.34476610809</c:v>
                </c:pt>
                <c:pt idx="8">
                  <c:v>-16693.239055694761</c:v>
                </c:pt>
                <c:pt idx="9">
                  <c:v>-16073.64662554298</c:v>
                </c:pt>
                <c:pt idx="10">
                  <c:v>-15002.976083639989</c:v>
                </c:pt>
                <c:pt idx="11">
                  <c:v>-14930.011267561171</c:v>
                </c:pt>
                <c:pt idx="12">
                  <c:v>-14209.515994110639</c:v>
                </c:pt>
                <c:pt idx="13">
                  <c:v>-9712.6943161957188</c:v>
                </c:pt>
                <c:pt idx="14">
                  <c:v>-8209.685165050807</c:v>
                </c:pt>
                <c:pt idx="15">
                  <c:v>-6730.049337278967</c:v>
                </c:pt>
                <c:pt idx="16">
                  <c:v>-5985.630225793785</c:v>
                </c:pt>
                <c:pt idx="17">
                  <c:v>-4327.7743552138636</c:v>
                </c:pt>
                <c:pt idx="18">
                  <c:v>-4018.4763238938058</c:v>
                </c:pt>
                <c:pt idx="19">
                  <c:v>-2084.159489240978</c:v>
                </c:pt>
                <c:pt idx="20">
                  <c:v>-2042.319126272738</c:v>
                </c:pt>
                <c:pt idx="21">
                  <c:v>-960.05010384856541</c:v>
                </c:pt>
                <c:pt idx="22">
                  <c:v>-512.1024758975434</c:v>
                </c:pt>
              </c:numCache>
            </c:numRef>
          </c:val>
        </c:ser>
        <c:dLbls>
          <c:showLegendKey val="0"/>
          <c:showVal val="1"/>
          <c:showCatName val="0"/>
          <c:showSerName val="0"/>
          <c:showPercent val="0"/>
          <c:showBubbleSize val="0"/>
        </c:dLbls>
        <c:gapWidth val="75"/>
        <c:axId val="84160896"/>
        <c:axId val="84162432"/>
      </c:barChart>
      <c:catAx>
        <c:axId val="84160896"/>
        <c:scaling>
          <c:orientation val="minMax"/>
        </c:scaling>
        <c:delete val="0"/>
        <c:axPos val="l"/>
        <c:numFmt formatCode="General" sourceLinked="0"/>
        <c:majorTickMark val="cross"/>
        <c:minorTickMark val="none"/>
        <c:tickLblPos val="low"/>
        <c:txPr>
          <a:bodyPr/>
          <a:lstStyle/>
          <a:p>
            <a:pPr>
              <a:defRPr sz="600" b="1"/>
            </a:pPr>
            <a:endParaRPr lang="en-US"/>
          </a:p>
        </c:txPr>
        <c:crossAx val="84162432"/>
        <c:crosses val="autoZero"/>
        <c:auto val="1"/>
        <c:lblAlgn val="ctr"/>
        <c:lblOffset val="100"/>
        <c:noMultiLvlLbl val="0"/>
      </c:catAx>
      <c:valAx>
        <c:axId val="84162432"/>
        <c:scaling>
          <c:orientation val="minMax"/>
          <c:max val="100000"/>
          <c:min val="-250000"/>
        </c:scaling>
        <c:delete val="0"/>
        <c:axPos val="b"/>
        <c:majorGridlines/>
        <c:numFmt formatCode="#,##0" sourceLinked="0"/>
        <c:majorTickMark val="none"/>
        <c:minorTickMark val="none"/>
        <c:tickLblPos val="nextTo"/>
        <c:crossAx val="84160896"/>
        <c:crosses val="autoZero"/>
        <c:crossBetween val="between"/>
      </c:valAx>
    </c:plotArea>
    <c:plotVisOnly val="1"/>
    <c:dispBlanksAs val="gap"/>
    <c:showDLblsOverMax val="0"/>
  </c:chart>
  <c:spPr>
    <a:noFill/>
    <a:ln>
      <a:noFill/>
    </a:ln>
  </c:spPr>
  <c:txPr>
    <a:bodyPr/>
    <a:lstStyle/>
    <a:p>
      <a:pPr>
        <a:defRPr>
          <a:latin typeface="Calibri"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ysClr val="windowText" lastClr="000000"/>
            </a:solidFill>
          </c:spPr>
          <c:invertIfNegative val="0"/>
          <c:dLbls>
            <c:delete val="1"/>
          </c:dLbls>
          <c:cat>
            <c:strRef>
              <c:f>'EMP 25%+'!$AF$79:$AF$101</c:f>
              <c:strCache>
                <c:ptCount val="23"/>
                <c:pt idx="0">
                  <c:v>State and Local Government</c:v>
                </c:pt>
                <c:pt idx="1">
                  <c:v>Construction</c:v>
                </c:pt>
                <c:pt idx="2">
                  <c:v>Retail Trade</c:v>
                </c:pt>
                <c:pt idx="3">
                  <c:v>Health Care and Social Assistance</c:v>
                </c:pt>
                <c:pt idx="4">
                  <c:v>Manufacturing</c:v>
                </c:pt>
                <c:pt idx="5">
                  <c:v>Other Services, except Public Administration</c:v>
                </c:pt>
                <c:pt idx="6">
                  <c:v>Finance and Insurance</c:v>
                </c:pt>
                <c:pt idx="7">
                  <c:v>Administrative and Waste Management Services</c:v>
                </c:pt>
                <c:pt idx="8">
                  <c:v>Wholesale Trade</c:v>
                </c:pt>
                <c:pt idx="9">
                  <c:v>Real Estate and Rental and Leasing</c:v>
                </c:pt>
                <c:pt idx="10">
                  <c:v>Accommodation and Food Services</c:v>
                </c:pt>
                <c:pt idx="11">
                  <c:v>Transportation and Warehousing</c:v>
                </c:pt>
                <c:pt idx="12">
                  <c:v>Arts, Entertainment, and Recreation</c:v>
                </c:pt>
                <c:pt idx="13">
                  <c:v>Information</c:v>
                </c:pt>
                <c:pt idx="14">
                  <c:v>Utilities</c:v>
                </c:pt>
                <c:pt idx="15">
                  <c:v>Mining</c:v>
                </c:pt>
                <c:pt idx="16">
                  <c:v>Management of Companies and Enterprises</c:v>
                </c:pt>
                <c:pt idx="17">
                  <c:v>Educational Services</c:v>
                </c:pt>
                <c:pt idx="18">
                  <c:v>Farm</c:v>
                </c:pt>
                <c:pt idx="19">
                  <c:v>Federal Civilian</c:v>
                </c:pt>
                <c:pt idx="20">
                  <c:v>Forestry, Fishing, and Related Activities</c:v>
                </c:pt>
                <c:pt idx="21">
                  <c:v>Federal Military</c:v>
                </c:pt>
                <c:pt idx="22">
                  <c:v>Professional, Scientific, and Technical Services</c:v>
                </c:pt>
              </c:strCache>
            </c:strRef>
          </c:cat>
          <c:val>
            <c:numRef>
              <c:f>'EMP 25%+'!$AG$79:$AG$101</c:f>
              <c:numCache>
                <c:formatCode>"$"#,##0</c:formatCode>
                <c:ptCount val="23"/>
                <c:pt idx="0">
                  <c:v>-203704.10039071171</c:v>
                </c:pt>
                <c:pt idx="1">
                  <c:v>-123832.6518010641</c:v>
                </c:pt>
                <c:pt idx="2">
                  <c:v>-106897.3058415608</c:v>
                </c:pt>
                <c:pt idx="3">
                  <c:v>-71150.676555131737</c:v>
                </c:pt>
                <c:pt idx="4">
                  <c:v>-69348.342940007075</c:v>
                </c:pt>
                <c:pt idx="5">
                  <c:v>-54612.518872725101</c:v>
                </c:pt>
                <c:pt idx="6">
                  <c:v>-54594.968272333601</c:v>
                </c:pt>
                <c:pt idx="7">
                  <c:v>-39462.73523389193</c:v>
                </c:pt>
                <c:pt idx="8">
                  <c:v>-31656.46391635995</c:v>
                </c:pt>
                <c:pt idx="9">
                  <c:v>-30519.233374457021</c:v>
                </c:pt>
                <c:pt idx="10">
                  <c:v>-25371.200944305219</c:v>
                </c:pt>
                <c:pt idx="11">
                  <c:v>-25197.724005889369</c:v>
                </c:pt>
                <c:pt idx="12">
                  <c:v>-20424.234834949199</c:v>
                </c:pt>
                <c:pt idx="13">
                  <c:v>-16888.449774206241</c:v>
                </c:pt>
                <c:pt idx="14">
                  <c:v>-12569.18568380426</c:v>
                </c:pt>
                <c:pt idx="15">
                  <c:v>-10938.228732438831</c:v>
                </c:pt>
                <c:pt idx="16">
                  <c:v>-9875.7236761062395</c:v>
                </c:pt>
                <c:pt idx="17">
                  <c:v>-4544.3608737272634</c:v>
                </c:pt>
                <c:pt idx="18">
                  <c:v>-2194.7856447861082</c:v>
                </c:pt>
                <c:pt idx="19">
                  <c:v>-2103.589896151434</c:v>
                </c:pt>
                <c:pt idx="20">
                  <c:v>-1925.0005107590221</c:v>
                </c:pt>
                <c:pt idx="21">
                  <c:v>-781.77752410245512</c:v>
                </c:pt>
                <c:pt idx="22" formatCode="General">
                  <c:v>54540.409337279132</c:v>
                </c:pt>
              </c:numCache>
            </c:numRef>
          </c:val>
        </c:ser>
        <c:dLbls>
          <c:showLegendKey val="0"/>
          <c:showVal val="1"/>
          <c:showCatName val="0"/>
          <c:showSerName val="0"/>
          <c:showPercent val="0"/>
          <c:showBubbleSize val="0"/>
        </c:dLbls>
        <c:gapWidth val="75"/>
        <c:axId val="84198528"/>
        <c:axId val="84200064"/>
      </c:barChart>
      <c:catAx>
        <c:axId val="84198528"/>
        <c:scaling>
          <c:orientation val="minMax"/>
        </c:scaling>
        <c:delete val="0"/>
        <c:axPos val="l"/>
        <c:numFmt formatCode="General" sourceLinked="0"/>
        <c:majorTickMark val="cross"/>
        <c:minorTickMark val="none"/>
        <c:tickLblPos val="low"/>
        <c:txPr>
          <a:bodyPr/>
          <a:lstStyle/>
          <a:p>
            <a:pPr>
              <a:defRPr sz="600" b="1"/>
            </a:pPr>
            <a:endParaRPr lang="en-US"/>
          </a:p>
        </c:txPr>
        <c:crossAx val="84200064"/>
        <c:crosses val="autoZero"/>
        <c:auto val="1"/>
        <c:lblAlgn val="ctr"/>
        <c:lblOffset val="100"/>
        <c:noMultiLvlLbl val="0"/>
      </c:catAx>
      <c:valAx>
        <c:axId val="84200064"/>
        <c:scaling>
          <c:orientation val="minMax"/>
        </c:scaling>
        <c:delete val="0"/>
        <c:axPos val="b"/>
        <c:majorGridlines/>
        <c:numFmt formatCode="#,##0" sourceLinked="0"/>
        <c:majorTickMark val="none"/>
        <c:minorTickMark val="none"/>
        <c:tickLblPos val="nextTo"/>
        <c:crossAx val="84198528"/>
        <c:crosses val="autoZero"/>
        <c:crossBetween val="between"/>
      </c:valAx>
    </c:plotArea>
    <c:plotVisOnly val="1"/>
    <c:dispBlanksAs val="gap"/>
    <c:showDLblsOverMax val="0"/>
  </c:chart>
  <c:spPr>
    <a:noFill/>
    <a:ln>
      <a:noFill/>
    </a:ln>
  </c:spPr>
  <c:txPr>
    <a:bodyPr/>
    <a:lstStyle/>
    <a:p>
      <a:pPr>
        <a:defRPr>
          <a:latin typeface="Calibri"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Co-op</a:t>
            </a:r>
            <a:r>
              <a:rPr lang="en-US" baseline="0"/>
              <a:t> Nation (and vicinity)</a:t>
            </a:r>
            <a:endParaRPr lang="en-US"/>
          </a:p>
        </c:rich>
      </c:tx>
      <c:layout>
        <c:manualLayout>
          <c:xMode val="edge"/>
          <c:yMode val="edge"/>
          <c:x val="0.25388374148493897"/>
          <c:y val="2.4218939210462601E-2"/>
        </c:manualLayout>
      </c:layout>
      <c:overlay val="0"/>
    </c:title>
    <c:autoTitleDeleted val="0"/>
    <c:plotArea>
      <c:layout>
        <c:manualLayout>
          <c:layoutTarget val="inner"/>
          <c:xMode val="edge"/>
          <c:yMode val="edge"/>
          <c:x val="0.28955683424187401"/>
          <c:y val="0.14892244790544301"/>
          <c:w val="0.59975834003513295"/>
          <c:h val="0.64384826287069596"/>
        </c:manualLayout>
      </c:layout>
      <c:lineChart>
        <c:grouping val="standard"/>
        <c:varyColors val="0"/>
        <c:ser>
          <c:idx val="2"/>
          <c:order val="0"/>
          <c:tx>
            <c:strRef>
              <c:f>GDP!$B$16</c:f>
              <c:strCache>
                <c:ptCount val="1"/>
                <c:pt idx="0">
                  <c:v>10% (+)</c:v>
                </c:pt>
              </c:strCache>
            </c:strRef>
          </c:tx>
          <c:spPr>
            <a:ln>
              <a:solidFill>
                <a:srgbClr val="C00000"/>
              </a:solidFill>
            </a:ln>
          </c:spPr>
          <c:marker>
            <c:symbol val="none"/>
          </c:marker>
          <c:cat>
            <c:numRef>
              <c:f>GDP!$C$13:$AB$13</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GDP!$C$16:$AB$16</c:f>
              <c:numCache>
                <c:formatCode>General</c:formatCode>
                <c:ptCount val="26"/>
                <c:pt idx="0">
                  <c:v>0</c:v>
                </c:pt>
                <c:pt idx="1">
                  <c:v>-19218.9144437701</c:v>
                </c:pt>
                <c:pt idx="2">
                  <c:v>-26707.547995604611</c:v>
                </c:pt>
                <c:pt idx="3">
                  <c:v>-34398.663455195077</c:v>
                </c:pt>
                <c:pt idx="4">
                  <c:v>-41853.288274692211</c:v>
                </c:pt>
                <c:pt idx="5">
                  <c:v>-48835.934479949668</c:v>
                </c:pt>
                <c:pt idx="6">
                  <c:v>-50452.990226652233</c:v>
                </c:pt>
                <c:pt idx="7">
                  <c:v>-50591.193758106252</c:v>
                </c:pt>
                <c:pt idx="8">
                  <c:v>-50388.259761057183</c:v>
                </c:pt>
                <c:pt idx="9">
                  <c:v>-49925.836853138142</c:v>
                </c:pt>
                <c:pt idx="10">
                  <c:v>-49389.790035859522</c:v>
                </c:pt>
                <c:pt idx="11">
                  <c:v>-48604.072167610502</c:v>
                </c:pt>
                <c:pt idx="12">
                  <c:v>-47939.718712915143</c:v>
                </c:pt>
                <c:pt idx="13">
                  <c:v>-47499.376386093012</c:v>
                </c:pt>
                <c:pt idx="14">
                  <c:v>-47231.555484656586</c:v>
                </c:pt>
                <c:pt idx="15">
                  <c:v>-47125.723218550593</c:v>
                </c:pt>
                <c:pt idx="16">
                  <c:v>-47080.731972579903</c:v>
                </c:pt>
                <c:pt idx="17">
                  <c:v>-47148.113289949011</c:v>
                </c:pt>
                <c:pt idx="18">
                  <c:v>-47378.205925118993</c:v>
                </c:pt>
                <c:pt idx="19">
                  <c:v>-47668.285560835553</c:v>
                </c:pt>
                <c:pt idx="20">
                  <c:v>-47988.894884908368</c:v>
                </c:pt>
                <c:pt idx="21">
                  <c:v>-48302.663151845183</c:v>
                </c:pt>
                <c:pt idx="22">
                  <c:v>-48603.50340381061</c:v>
                </c:pt>
                <c:pt idx="23">
                  <c:v>-48913.100490882192</c:v>
                </c:pt>
                <c:pt idx="24">
                  <c:v>-49232.510625059243</c:v>
                </c:pt>
                <c:pt idx="25">
                  <c:v>-49554.416440240202</c:v>
                </c:pt>
              </c:numCache>
            </c:numRef>
          </c:val>
          <c:smooth val="0"/>
        </c:ser>
        <c:ser>
          <c:idx val="3"/>
          <c:order val="1"/>
          <c:tx>
            <c:strRef>
              <c:f>GDP!$B$17</c:f>
              <c:strCache>
                <c:ptCount val="1"/>
                <c:pt idx="0">
                  <c:v>25% (+)</c:v>
                </c:pt>
              </c:strCache>
            </c:strRef>
          </c:tx>
          <c:spPr>
            <a:ln>
              <a:solidFill>
                <a:schemeClr val="tx1"/>
              </a:solidFill>
              <a:prstDash val="sysDash"/>
            </a:ln>
          </c:spPr>
          <c:marker>
            <c:symbol val="none"/>
          </c:marker>
          <c:cat>
            <c:numRef>
              <c:f>GDP!$C$13:$AB$13</c:f>
              <c:numCache>
                <c:formatCode>General</c:formatCode>
                <c:ptCount val="2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numCache>
            </c:numRef>
          </c:cat>
          <c:val>
            <c:numRef>
              <c:f>GDP!$C$17:$AB$17</c:f>
              <c:numCache>
                <c:formatCode>General</c:formatCode>
                <c:ptCount val="26"/>
                <c:pt idx="0">
                  <c:v>0</c:v>
                </c:pt>
                <c:pt idx="1">
                  <c:v>-26930.062502148841</c:v>
                </c:pt>
                <c:pt idx="2">
                  <c:v>-43339.505642003183</c:v>
                </c:pt>
                <c:pt idx="3">
                  <c:v>-60189.431044659454</c:v>
                </c:pt>
                <c:pt idx="4">
                  <c:v>-76396.864442588427</c:v>
                </c:pt>
                <c:pt idx="5">
                  <c:v>-91393.544179572345</c:v>
                </c:pt>
                <c:pt idx="6">
                  <c:v>-95190.033324941425</c:v>
                </c:pt>
                <c:pt idx="7">
                  <c:v>-95674.970130295653</c:v>
                </c:pt>
                <c:pt idx="8">
                  <c:v>-95411.299524949514</c:v>
                </c:pt>
                <c:pt idx="9">
                  <c:v>-94442.153152542887</c:v>
                </c:pt>
                <c:pt idx="10">
                  <c:v>-93257.285041683077</c:v>
                </c:pt>
                <c:pt idx="11">
                  <c:v>-91845.116775624338</c:v>
                </c:pt>
                <c:pt idx="12">
                  <c:v>-90681.512285706354</c:v>
                </c:pt>
                <c:pt idx="13">
                  <c:v>-89914.730419907733</c:v>
                </c:pt>
                <c:pt idx="14">
                  <c:v>-89482.280636715761</c:v>
                </c:pt>
                <c:pt idx="15">
                  <c:v>-89334.702290125308</c:v>
                </c:pt>
                <c:pt idx="16">
                  <c:v>-89260.679995933897</c:v>
                </c:pt>
                <c:pt idx="17">
                  <c:v>-89395.129428536005</c:v>
                </c:pt>
                <c:pt idx="18">
                  <c:v>-89883.126735311205</c:v>
                </c:pt>
                <c:pt idx="19">
                  <c:v>-90525.440024425829</c:v>
                </c:pt>
                <c:pt idx="20">
                  <c:v>-91253.368051920712</c:v>
                </c:pt>
                <c:pt idx="21">
                  <c:v>-92009.575814416123</c:v>
                </c:pt>
                <c:pt idx="22">
                  <c:v>-92779.902007759185</c:v>
                </c:pt>
                <c:pt idx="23">
                  <c:v>-93571.034070031063</c:v>
                </c:pt>
                <c:pt idx="24">
                  <c:v>-94381.035121458423</c:v>
                </c:pt>
                <c:pt idx="25">
                  <c:v>-95185.604431336877</c:v>
                </c:pt>
              </c:numCache>
            </c:numRef>
          </c:val>
          <c:smooth val="0"/>
        </c:ser>
        <c:dLbls>
          <c:showLegendKey val="0"/>
          <c:showVal val="0"/>
          <c:showCatName val="0"/>
          <c:showSerName val="0"/>
          <c:showPercent val="0"/>
          <c:showBubbleSize val="0"/>
        </c:dLbls>
        <c:marker val="1"/>
        <c:smooth val="0"/>
        <c:axId val="86221184"/>
        <c:axId val="86222720"/>
      </c:lineChart>
      <c:catAx>
        <c:axId val="86221184"/>
        <c:scaling>
          <c:orientation val="minMax"/>
        </c:scaling>
        <c:delete val="0"/>
        <c:axPos val="b"/>
        <c:numFmt formatCode="General" sourceLinked="1"/>
        <c:majorTickMark val="cross"/>
        <c:minorTickMark val="none"/>
        <c:tickLblPos val="low"/>
        <c:txPr>
          <a:bodyPr rot="-2700000"/>
          <a:lstStyle/>
          <a:p>
            <a:pPr>
              <a:defRPr/>
            </a:pPr>
            <a:endParaRPr lang="en-US"/>
          </a:p>
        </c:txPr>
        <c:crossAx val="86222720"/>
        <c:crosses val="autoZero"/>
        <c:auto val="1"/>
        <c:lblAlgn val="ctr"/>
        <c:lblOffset val="100"/>
        <c:tickLblSkip val="5"/>
        <c:noMultiLvlLbl val="0"/>
      </c:catAx>
      <c:valAx>
        <c:axId val="86222720"/>
        <c:scaling>
          <c:orientation val="minMax"/>
          <c:max val="0"/>
          <c:min val="-200000"/>
        </c:scaling>
        <c:delete val="0"/>
        <c:axPos val="l"/>
        <c:majorGridlines/>
        <c:title>
          <c:tx>
            <c:rich>
              <a:bodyPr/>
              <a:lstStyle/>
              <a:p>
                <a:pPr>
                  <a:defRPr sz="1200"/>
                </a:pPr>
                <a:r>
                  <a:rPr lang="en-US" sz="1200"/>
                  <a:t>Millions of 2015 dollars</a:t>
                </a:r>
              </a:p>
            </c:rich>
          </c:tx>
          <c:layout/>
          <c:overlay val="0"/>
        </c:title>
        <c:numFmt formatCode="&quot;$&quot;#,##0" sourceLinked="0"/>
        <c:majorTickMark val="none"/>
        <c:minorTickMark val="none"/>
        <c:tickLblPos val="nextTo"/>
        <c:crossAx val="86221184"/>
        <c:crosses val="autoZero"/>
        <c:crossBetween val="between"/>
      </c:valAx>
    </c:plotArea>
    <c:plotVisOnly val="1"/>
    <c:dispBlanksAs val="gap"/>
    <c:showDLblsOverMax val="0"/>
  </c:chart>
  <c:spPr>
    <a:noFill/>
    <a:ln>
      <a:noFill/>
    </a:ln>
  </c:spPr>
  <c:txPr>
    <a:bodyPr/>
    <a:lstStyle/>
    <a:p>
      <a:pPr>
        <a:defRPr sz="1000">
          <a:latin typeface="Calibri"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0.38835</cdr:x>
      <cdr:y>0.72942</cdr:y>
    </cdr:from>
    <cdr:to>
      <cdr:x>0.45269</cdr:x>
      <cdr:y>0.72942</cdr:y>
    </cdr:to>
    <cdr:cxnSp macro="">
      <cdr:nvCxnSpPr>
        <cdr:cNvPr id="2" name="Straight Connector 1"/>
        <cdr:cNvCxnSpPr/>
      </cdr:nvCxnSpPr>
      <cdr:spPr>
        <a:xfrm xmlns:a="http://schemas.openxmlformats.org/drawingml/2006/main">
          <a:off x="1142247" y="1893956"/>
          <a:ext cx="189249" cy="0"/>
        </a:xfrm>
        <a:prstGeom xmlns:a="http://schemas.openxmlformats.org/drawingml/2006/main" prst="line">
          <a:avLst/>
        </a:prstGeom>
        <a:noFill xmlns:a="http://schemas.openxmlformats.org/drawingml/2006/main"/>
        <a:ln xmlns:a="http://schemas.openxmlformats.org/drawingml/2006/main" w="25400" cap="flat" cmpd="sng" algn="ctr">
          <a:solidFill>
            <a:srgbClr val="C00000"/>
          </a:solidFill>
          <a:prstDash val="solid"/>
        </a:ln>
        <a:effectLst xmlns:a="http://schemas.openxmlformats.org/drawingml/2006/main"/>
      </cdr:spPr>
    </cdr:cxnSp>
  </cdr:relSizeAnchor>
  <cdr:relSizeAnchor xmlns:cdr="http://schemas.openxmlformats.org/drawingml/2006/chartDrawing">
    <cdr:from>
      <cdr:x>0.39008</cdr:x>
      <cdr:y>0.77432</cdr:y>
    </cdr:from>
    <cdr:to>
      <cdr:x>0.45441</cdr:x>
      <cdr:y>0.77432</cdr:y>
    </cdr:to>
    <cdr:cxnSp macro="">
      <cdr:nvCxnSpPr>
        <cdr:cNvPr id="3" name="Straight Connector 2"/>
        <cdr:cNvCxnSpPr/>
      </cdr:nvCxnSpPr>
      <cdr:spPr>
        <a:xfrm xmlns:a="http://schemas.openxmlformats.org/drawingml/2006/main">
          <a:off x="1147336" y="2010526"/>
          <a:ext cx="189219" cy="0"/>
        </a:xfrm>
        <a:prstGeom xmlns:a="http://schemas.openxmlformats.org/drawingml/2006/main" prst="line">
          <a:avLst/>
        </a:prstGeom>
        <a:noFill xmlns:a="http://schemas.openxmlformats.org/drawingml/2006/main"/>
        <a:ln xmlns:a="http://schemas.openxmlformats.org/drawingml/2006/main" w="25400" cap="flat" cmpd="sng" algn="ctr">
          <a:solidFill>
            <a:sysClr val="windowText" lastClr="000000"/>
          </a:solidFill>
          <a:prstDash val="sysDash"/>
        </a:ln>
        <a:effectLst xmlns:a="http://schemas.openxmlformats.org/drawingml/2006/main"/>
      </cdr:spPr>
    </cdr:cxnSp>
  </cdr:relSizeAnchor>
</c:userShapes>
</file>

<file path=word/drawings/drawing2.xml><?xml version="1.0" encoding="utf-8"?>
<c:userShapes xmlns:c="http://schemas.openxmlformats.org/drawingml/2006/chart">
  <cdr:relSizeAnchor xmlns:cdr="http://schemas.openxmlformats.org/drawingml/2006/chartDrawing">
    <cdr:from>
      <cdr:x>0.32044</cdr:x>
      <cdr:y>0.56296</cdr:y>
    </cdr:from>
    <cdr:to>
      <cdr:x>0.53407</cdr:x>
      <cdr:y>0.63519</cdr:y>
    </cdr:to>
    <cdr:sp macro="" textlink="">
      <cdr:nvSpPr>
        <cdr:cNvPr id="2" name="TextBox 1"/>
        <cdr:cNvSpPr txBox="1"/>
      </cdr:nvSpPr>
      <cdr:spPr>
        <a:xfrm xmlns:a="http://schemas.openxmlformats.org/drawingml/2006/main">
          <a:off x="1371600" y="2396359"/>
          <a:ext cx="914400" cy="3074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dr:relSizeAnchor xmlns:cdr="http://schemas.openxmlformats.org/drawingml/2006/chartDrawing">
    <cdr:from>
      <cdr:x>0.33518</cdr:x>
      <cdr:y>0.84259</cdr:y>
    </cdr:from>
    <cdr:to>
      <cdr:x>0.57643</cdr:x>
      <cdr:y>0.93333</cdr:y>
    </cdr:to>
    <cdr:sp macro="" textlink="">
      <cdr:nvSpPr>
        <cdr:cNvPr id="9" name="TextBox 8"/>
        <cdr:cNvSpPr txBox="1"/>
      </cdr:nvSpPr>
      <cdr:spPr>
        <a:xfrm xmlns:a="http://schemas.openxmlformats.org/drawingml/2006/main">
          <a:off x="1434663" y="3586656"/>
          <a:ext cx="1032642" cy="38625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userShapes>
</file>

<file path=word/drawings/drawing3.xml><?xml version="1.0" encoding="utf-8"?>
<c:userShapes xmlns:c="http://schemas.openxmlformats.org/drawingml/2006/chart">
  <cdr:relSizeAnchor xmlns:cdr="http://schemas.openxmlformats.org/drawingml/2006/chartDrawing">
    <cdr:from>
      <cdr:x>0.23852</cdr:x>
      <cdr:y>0.63976</cdr:y>
    </cdr:from>
    <cdr:to>
      <cdr:x>0.30441</cdr:x>
      <cdr:y>0.63976</cdr:y>
    </cdr:to>
    <cdr:cxnSp macro="">
      <cdr:nvCxnSpPr>
        <cdr:cNvPr id="2" name="Straight Connector 1"/>
        <cdr:cNvCxnSpPr/>
      </cdr:nvCxnSpPr>
      <cdr:spPr>
        <a:xfrm xmlns:a="http://schemas.openxmlformats.org/drawingml/2006/main">
          <a:off x="685047" y="1523021"/>
          <a:ext cx="189249" cy="0"/>
        </a:xfrm>
        <a:prstGeom xmlns:a="http://schemas.openxmlformats.org/drawingml/2006/main" prst="line">
          <a:avLst/>
        </a:prstGeom>
        <a:noFill xmlns:a="http://schemas.openxmlformats.org/drawingml/2006/main"/>
        <a:ln xmlns:a="http://schemas.openxmlformats.org/drawingml/2006/main" w="25400" cap="flat" cmpd="sng" algn="ctr">
          <a:solidFill>
            <a:srgbClr val="C00000"/>
          </a:solidFill>
          <a:prstDash val="solid"/>
        </a:ln>
        <a:effectLst xmlns:a="http://schemas.openxmlformats.org/drawingml/2006/main"/>
      </cdr:spPr>
    </cdr:cxnSp>
  </cdr:relSizeAnchor>
  <cdr:relSizeAnchor xmlns:cdr="http://schemas.openxmlformats.org/drawingml/2006/chartDrawing">
    <cdr:from>
      <cdr:x>0.24329</cdr:x>
      <cdr:y>0.70322</cdr:y>
    </cdr:from>
    <cdr:to>
      <cdr:x>0.30917</cdr:x>
      <cdr:y>0.70322</cdr:y>
    </cdr:to>
    <cdr:cxnSp macro="">
      <cdr:nvCxnSpPr>
        <cdr:cNvPr id="3" name="Straight Connector 2"/>
        <cdr:cNvCxnSpPr/>
      </cdr:nvCxnSpPr>
      <cdr:spPr>
        <a:xfrm xmlns:a="http://schemas.openxmlformats.org/drawingml/2006/main">
          <a:off x="698763" y="1674097"/>
          <a:ext cx="189219" cy="0"/>
        </a:xfrm>
        <a:prstGeom xmlns:a="http://schemas.openxmlformats.org/drawingml/2006/main" prst="line">
          <a:avLst/>
        </a:prstGeom>
        <a:noFill xmlns:a="http://schemas.openxmlformats.org/drawingml/2006/main"/>
        <a:ln xmlns:a="http://schemas.openxmlformats.org/drawingml/2006/main" w="25400" cap="flat" cmpd="sng" algn="ctr">
          <a:solidFill>
            <a:sysClr val="windowText" lastClr="000000"/>
          </a:solidFill>
          <a:prstDash val="sysDash"/>
        </a:ln>
        <a:effectLst xmlns:a="http://schemas.openxmlformats.org/drawingml/2006/main"/>
      </cdr:spPr>
    </cdr:cxnSp>
  </cdr:relSizeAnchor>
</c:userShapes>
</file>

<file path=word/drawings/drawing4.xml><?xml version="1.0" encoding="utf-8"?>
<c:userShapes xmlns:c="http://schemas.openxmlformats.org/drawingml/2006/chart">
  <cdr:relSizeAnchor xmlns:cdr="http://schemas.openxmlformats.org/drawingml/2006/chartDrawing">
    <cdr:from>
      <cdr:x>0.37839</cdr:x>
      <cdr:y>0.69311</cdr:y>
    </cdr:from>
    <cdr:to>
      <cdr:x>0.44199</cdr:x>
      <cdr:y>0.69311</cdr:y>
    </cdr:to>
    <cdr:cxnSp macro="">
      <cdr:nvCxnSpPr>
        <cdr:cNvPr id="7" name="Straight Connector 6"/>
        <cdr:cNvCxnSpPr/>
      </cdr:nvCxnSpPr>
      <cdr:spPr>
        <a:xfrm xmlns:a="http://schemas.openxmlformats.org/drawingml/2006/main">
          <a:off x="1125954" y="1817276"/>
          <a:ext cx="189249" cy="0"/>
        </a:xfrm>
        <a:prstGeom xmlns:a="http://schemas.openxmlformats.org/drawingml/2006/main" prst="line">
          <a:avLst/>
        </a:prstGeom>
        <a:noFill xmlns:a="http://schemas.openxmlformats.org/drawingml/2006/main"/>
        <a:ln xmlns:a="http://schemas.openxmlformats.org/drawingml/2006/main" w="25400" cap="flat" cmpd="sng" algn="ctr">
          <a:solidFill>
            <a:srgbClr val="C00000"/>
          </a:solidFill>
          <a:prstDash val="solid"/>
        </a:ln>
        <a:effectLst xmlns:a="http://schemas.openxmlformats.org/drawingml/2006/main"/>
      </cdr:spPr>
    </cdr:cxnSp>
  </cdr:relSizeAnchor>
  <cdr:relSizeAnchor xmlns:cdr="http://schemas.openxmlformats.org/drawingml/2006/chartDrawing">
    <cdr:from>
      <cdr:x>0.37996</cdr:x>
      <cdr:y>0.75067</cdr:y>
    </cdr:from>
    <cdr:to>
      <cdr:x>0.44355</cdr:x>
      <cdr:y>0.75067</cdr:y>
    </cdr:to>
    <cdr:cxnSp macro="">
      <cdr:nvCxnSpPr>
        <cdr:cNvPr id="8" name="Straight Connector 7"/>
        <cdr:cNvCxnSpPr/>
      </cdr:nvCxnSpPr>
      <cdr:spPr>
        <a:xfrm xmlns:a="http://schemas.openxmlformats.org/drawingml/2006/main">
          <a:off x="1130623" y="1968198"/>
          <a:ext cx="189219" cy="0"/>
        </a:xfrm>
        <a:prstGeom xmlns:a="http://schemas.openxmlformats.org/drawingml/2006/main" prst="line">
          <a:avLst/>
        </a:prstGeom>
        <a:noFill xmlns:a="http://schemas.openxmlformats.org/drawingml/2006/main"/>
        <a:ln xmlns:a="http://schemas.openxmlformats.org/drawingml/2006/main" w="25400" cap="flat" cmpd="sng" algn="ctr">
          <a:solidFill>
            <a:sysClr val="windowText" lastClr="000000"/>
          </a:solidFill>
          <a:prstDash val="sysDash"/>
        </a:ln>
        <a:effectLst xmlns:a="http://schemas.openxmlformats.org/drawingml/2006/main"/>
      </cdr:spPr>
    </cdr:cxnSp>
  </cdr:relSizeAnchor>
</c:userShapes>
</file>

<file path=word/drawings/drawing5.xml><?xml version="1.0" encoding="utf-8"?>
<c:userShapes xmlns:c="http://schemas.openxmlformats.org/drawingml/2006/chart">
  <cdr:relSizeAnchor xmlns:cdr="http://schemas.openxmlformats.org/drawingml/2006/chartDrawing">
    <cdr:from>
      <cdr:x>0.37955</cdr:x>
      <cdr:y>0.59262</cdr:y>
    </cdr:from>
    <cdr:to>
      <cdr:x>0.44389</cdr:x>
      <cdr:y>0.59262</cdr:y>
    </cdr:to>
    <cdr:cxnSp macro="">
      <cdr:nvCxnSpPr>
        <cdr:cNvPr id="2" name="Straight Connector 1"/>
        <cdr:cNvCxnSpPr/>
      </cdr:nvCxnSpPr>
      <cdr:spPr>
        <a:xfrm xmlns:a="http://schemas.openxmlformats.org/drawingml/2006/main">
          <a:off x="1116369" y="1548899"/>
          <a:ext cx="189249" cy="0"/>
        </a:xfrm>
        <a:prstGeom xmlns:a="http://schemas.openxmlformats.org/drawingml/2006/main" prst="line">
          <a:avLst/>
        </a:prstGeom>
        <a:noFill xmlns:a="http://schemas.openxmlformats.org/drawingml/2006/main"/>
        <a:ln xmlns:a="http://schemas.openxmlformats.org/drawingml/2006/main" w="25400" cap="flat" cmpd="sng" algn="ctr">
          <a:solidFill>
            <a:srgbClr val="C00000"/>
          </a:solidFill>
          <a:prstDash val="solid"/>
        </a:ln>
        <a:effectLst xmlns:a="http://schemas.openxmlformats.org/drawingml/2006/main"/>
      </cdr:spPr>
    </cdr:cxnSp>
  </cdr:relSizeAnchor>
  <cdr:relSizeAnchor xmlns:cdr="http://schemas.openxmlformats.org/drawingml/2006/chartDrawing">
    <cdr:from>
      <cdr:x>0.38113</cdr:x>
      <cdr:y>0.65036</cdr:y>
    </cdr:from>
    <cdr:to>
      <cdr:x>0.44547</cdr:x>
      <cdr:y>0.65036</cdr:y>
    </cdr:to>
    <cdr:cxnSp macro="">
      <cdr:nvCxnSpPr>
        <cdr:cNvPr id="3" name="Straight Connector 2"/>
        <cdr:cNvCxnSpPr/>
      </cdr:nvCxnSpPr>
      <cdr:spPr>
        <a:xfrm xmlns:a="http://schemas.openxmlformats.org/drawingml/2006/main">
          <a:off x="1121038" y="1699821"/>
          <a:ext cx="189219" cy="0"/>
        </a:xfrm>
        <a:prstGeom xmlns:a="http://schemas.openxmlformats.org/drawingml/2006/main" prst="line">
          <a:avLst/>
        </a:prstGeom>
        <a:noFill xmlns:a="http://schemas.openxmlformats.org/drawingml/2006/main"/>
        <a:ln xmlns:a="http://schemas.openxmlformats.org/drawingml/2006/main" w="25400" cap="flat" cmpd="sng" algn="ctr">
          <a:solidFill>
            <a:sysClr val="windowText" lastClr="000000"/>
          </a:solidFill>
          <a:prstDash val="sysDash"/>
        </a:ln>
        <a:effectLst xmlns:a="http://schemas.openxmlformats.org/drawingml/2006/main"/>
      </cdr:spPr>
    </cdr:cxnSp>
  </cdr:relSizeAnchor>
</c:userShapes>
</file>

<file path=word/drawings/drawing6.xml><?xml version="1.0" encoding="utf-8"?>
<c:userShapes xmlns:c="http://schemas.openxmlformats.org/drawingml/2006/chart">
  <cdr:relSizeAnchor xmlns:cdr="http://schemas.openxmlformats.org/drawingml/2006/chartDrawing">
    <cdr:from>
      <cdr:x>0.21544</cdr:x>
      <cdr:y>0.66244</cdr:y>
    </cdr:from>
    <cdr:to>
      <cdr:x>0.28173</cdr:x>
      <cdr:y>0.66244</cdr:y>
    </cdr:to>
    <cdr:cxnSp macro="">
      <cdr:nvCxnSpPr>
        <cdr:cNvPr id="2" name="Straight Connector 1"/>
        <cdr:cNvCxnSpPr/>
      </cdr:nvCxnSpPr>
      <cdr:spPr>
        <a:xfrm xmlns:a="http://schemas.openxmlformats.org/drawingml/2006/main">
          <a:off x="615078" y="1651458"/>
          <a:ext cx="189249" cy="0"/>
        </a:xfrm>
        <a:prstGeom xmlns:a="http://schemas.openxmlformats.org/drawingml/2006/main" prst="line">
          <a:avLst/>
        </a:prstGeom>
        <a:noFill xmlns:a="http://schemas.openxmlformats.org/drawingml/2006/main"/>
        <a:ln xmlns:a="http://schemas.openxmlformats.org/drawingml/2006/main" w="25400" cap="flat" cmpd="sng" algn="ctr">
          <a:solidFill>
            <a:srgbClr val="C00000"/>
          </a:solidFill>
          <a:prstDash val="solid"/>
        </a:ln>
        <a:effectLst xmlns:a="http://schemas.openxmlformats.org/drawingml/2006/main"/>
      </cdr:spPr>
    </cdr:cxnSp>
  </cdr:relSizeAnchor>
  <cdr:relSizeAnchor xmlns:cdr="http://schemas.openxmlformats.org/drawingml/2006/chartDrawing">
    <cdr:from>
      <cdr:x>0.21708</cdr:x>
      <cdr:y>0.72297</cdr:y>
    </cdr:from>
    <cdr:to>
      <cdr:x>0.28335</cdr:x>
      <cdr:y>0.72297</cdr:y>
    </cdr:to>
    <cdr:cxnSp macro="">
      <cdr:nvCxnSpPr>
        <cdr:cNvPr id="3" name="Straight Connector 2"/>
        <cdr:cNvCxnSpPr/>
      </cdr:nvCxnSpPr>
      <cdr:spPr>
        <a:xfrm xmlns:a="http://schemas.openxmlformats.org/drawingml/2006/main">
          <a:off x="619747" y="1802380"/>
          <a:ext cx="189219" cy="0"/>
        </a:xfrm>
        <a:prstGeom xmlns:a="http://schemas.openxmlformats.org/drawingml/2006/main" prst="line">
          <a:avLst/>
        </a:prstGeom>
        <a:noFill xmlns:a="http://schemas.openxmlformats.org/drawingml/2006/main"/>
        <a:ln xmlns:a="http://schemas.openxmlformats.org/drawingml/2006/main" w="25400" cap="flat" cmpd="sng" algn="ctr">
          <a:solidFill>
            <a:sysClr val="windowText" lastClr="000000"/>
          </a:solidFill>
          <a:prstDash val="sysDash"/>
        </a:ln>
        <a:effectLst xmlns:a="http://schemas.openxmlformats.org/drawingml/2006/main"/>
      </cdr:spPr>
    </cdr:cxnSp>
  </cdr:relSizeAnchor>
</c:userShapes>
</file>

<file path=word/drawings/drawing7.xml><?xml version="1.0" encoding="utf-8"?>
<c:userShapes xmlns:c="http://schemas.openxmlformats.org/drawingml/2006/chart">
  <cdr:relSizeAnchor xmlns:cdr="http://schemas.openxmlformats.org/drawingml/2006/chartDrawing">
    <cdr:from>
      <cdr:x>0.28204</cdr:x>
      <cdr:y>0.57073</cdr:y>
    </cdr:from>
    <cdr:to>
      <cdr:x>0.35642</cdr:x>
      <cdr:y>0.57073</cdr:y>
    </cdr:to>
    <cdr:cxnSp macro="">
      <cdr:nvCxnSpPr>
        <cdr:cNvPr id="2" name="Straight Connector 1"/>
        <cdr:cNvCxnSpPr/>
      </cdr:nvCxnSpPr>
      <cdr:spPr>
        <a:xfrm xmlns:a="http://schemas.openxmlformats.org/drawingml/2006/main">
          <a:off x="717636" y="1659126"/>
          <a:ext cx="189249" cy="0"/>
        </a:xfrm>
        <a:prstGeom xmlns:a="http://schemas.openxmlformats.org/drawingml/2006/main" prst="line">
          <a:avLst/>
        </a:prstGeom>
        <a:noFill xmlns:a="http://schemas.openxmlformats.org/drawingml/2006/main"/>
        <a:ln xmlns:a="http://schemas.openxmlformats.org/drawingml/2006/main" w="25400" cap="flat" cmpd="sng" algn="ctr">
          <a:solidFill>
            <a:srgbClr val="C00000"/>
          </a:solidFill>
          <a:prstDash val="solid"/>
        </a:ln>
        <a:effectLst xmlns:a="http://schemas.openxmlformats.org/drawingml/2006/main"/>
      </cdr:spPr>
    </cdr:cxnSp>
  </cdr:relSizeAnchor>
  <cdr:relSizeAnchor xmlns:cdr="http://schemas.openxmlformats.org/drawingml/2006/chartDrawing">
    <cdr:from>
      <cdr:x>0.28388</cdr:x>
      <cdr:y>0.62265</cdr:y>
    </cdr:from>
    <cdr:to>
      <cdr:x>0.35824</cdr:x>
      <cdr:y>0.62265</cdr:y>
    </cdr:to>
    <cdr:cxnSp macro="">
      <cdr:nvCxnSpPr>
        <cdr:cNvPr id="3" name="Straight Connector 2"/>
        <cdr:cNvCxnSpPr/>
      </cdr:nvCxnSpPr>
      <cdr:spPr>
        <a:xfrm xmlns:a="http://schemas.openxmlformats.org/drawingml/2006/main">
          <a:off x="722305" y="1810048"/>
          <a:ext cx="189219" cy="0"/>
        </a:xfrm>
        <a:prstGeom xmlns:a="http://schemas.openxmlformats.org/drawingml/2006/main" prst="line">
          <a:avLst/>
        </a:prstGeom>
        <a:noFill xmlns:a="http://schemas.openxmlformats.org/drawingml/2006/main"/>
        <a:ln xmlns:a="http://schemas.openxmlformats.org/drawingml/2006/main" w="25400" cap="flat" cmpd="sng" algn="ctr">
          <a:solidFill>
            <a:sysClr val="windowText" lastClr="000000"/>
          </a:solidFill>
          <a:prstDash val="sysDash"/>
        </a:ln>
        <a:effectLst xmlns:a="http://schemas.openxmlformats.org/drawingml/2006/main"/>
      </cdr:spPr>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EA86-94B4-4173-9260-D63AEB42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4131</Words>
  <Characters>23552</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Russell J.</dc:creator>
  <cp:lastModifiedBy>Wing, Debbie G.</cp:lastModifiedBy>
  <cp:revision>2</cp:revision>
  <cp:lastPrinted>2015-07-23T17:25:00Z</cp:lastPrinted>
  <dcterms:created xsi:type="dcterms:W3CDTF">2015-07-24T19:38:00Z</dcterms:created>
  <dcterms:modified xsi:type="dcterms:W3CDTF">2015-07-24T19:38:00Z</dcterms:modified>
</cp:coreProperties>
</file>