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D70C" w14:textId="3897A796" w:rsidR="00F404A1" w:rsidRPr="00F404A1" w:rsidRDefault="00F404A1" w:rsidP="00F404A1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F404A1">
        <w:rPr>
          <w:b/>
          <w:bCs/>
          <w:color w:val="FF0000"/>
          <w:sz w:val="24"/>
          <w:szCs w:val="24"/>
        </w:rPr>
        <w:t>Not a Leave Behind – Internal use only</w:t>
      </w:r>
    </w:p>
    <w:p w14:paraId="3B791E12" w14:textId="26855D73" w:rsidR="00F404A1" w:rsidRDefault="00EA4CC2" w:rsidP="00F404A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Co-op 101</w:t>
      </w:r>
    </w:p>
    <w:p w14:paraId="74FD246B" w14:textId="77777777" w:rsidR="00EA4CC2" w:rsidRDefault="00EA4CC2" w:rsidP="00EA4CC2">
      <w:pPr>
        <w:rPr>
          <w:sz w:val="28"/>
          <w:szCs w:val="28"/>
        </w:rPr>
      </w:pPr>
      <w:r>
        <w:rPr>
          <w:sz w:val="28"/>
          <w:szCs w:val="28"/>
        </w:rPr>
        <w:t>Florida’s electric cooperatives are not-for-profit electric utilities governed by the consumer-members we serve.  For more than 75 years, the electric cooperatives have provided safe, reliable, affordable electricity to Floridians in 57 counties.</w:t>
      </w:r>
    </w:p>
    <w:p w14:paraId="7990C376" w14:textId="77777777" w:rsidR="00EA4CC2" w:rsidRDefault="00EA4CC2" w:rsidP="00EA4CC2">
      <w:pPr>
        <w:rPr>
          <w:sz w:val="28"/>
          <w:szCs w:val="28"/>
        </w:rPr>
      </w:pPr>
      <w:r w:rsidRPr="00EA4CC2">
        <w:rPr>
          <w:sz w:val="28"/>
          <w:szCs w:val="28"/>
        </w:rPr>
        <w:t>As Florida’s 18 electric cooperatives work to meet the changing demands of our communities and consumer-members, prioritizing affordability and reliability is paramount.</w:t>
      </w:r>
    </w:p>
    <w:p w14:paraId="55936563" w14:textId="090C7C7B" w:rsidR="00552C5C" w:rsidRPr="00552C5C" w:rsidRDefault="00552C5C" w:rsidP="00EA4CC2">
      <w:pPr>
        <w:rPr>
          <w:b/>
          <w:bCs/>
          <w:sz w:val="28"/>
          <w:szCs w:val="28"/>
        </w:rPr>
      </w:pPr>
      <w:r w:rsidRPr="00552C5C">
        <w:rPr>
          <w:b/>
          <w:bCs/>
          <w:sz w:val="28"/>
          <w:szCs w:val="28"/>
        </w:rPr>
        <w:t>Key Points to Hit:</w:t>
      </w:r>
    </w:p>
    <w:p w14:paraId="686C07B9" w14:textId="44446105" w:rsidR="00552C5C" w:rsidRDefault="00552C5C" w:rsidP="00552C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Not-for-profit electric utilities</w:t>
      </w:r>
    </w:p>
    <w:p w14:paraId="629E72D9" w14:textId="302F6BE3" w:rsidR="00552C5C" w:rsidRDefault="00552C5C" w:rsidP="00552C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Established to provide safe, reliable, and affordable electricity</w:t>
      </w:r>
    </w:p>
    <w:p w14:paraId="32979273" w14:textId="4B60F97F" w:rsidR="00552C5C" w:rsidRPr="00FD7550" w:rsidRDefault="00552C5C" w:rsidP="00FD755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Governed by a Board of Trustees elected from and by the membership </w:t>
      </w:r>
    </w:p>
    <w:p w14:paraId="1E4693F4" w14:textId="4AECC1DF" w:rsidR="00401006" w:rsidRPr="000D4C9D" w:rsidRDefault="00292F11" w:rsidP="00401006">
      <w:pPr>
        <w:jc w:val="center"/>
        <w:rPr>
          <w:b/>
          <w:bCs/>
          <w:sz w:val="36"/>
          <w:szCs w:val="36"/>
          <w:u w:val="single"/>
        </w:rPr>
      </w:pPr>
      <w:r w:rsidRPr="000D4C9D">
        <w:rPr>
          <w:b/>
          <w:bCs/>
          <w:sz w:val="36"/>
          <w:szCs w:val="36"/>
          <w:u w:val="single"/>
        </w:rPr>
        <w:t>Reliable and Affordable Electricity</w:t>
      </w:r>
    </w:p>
    <w:p w14:paraId="2A1B2669" w14:textId="70057F95" w:rsidR="00292F11" w:rsidRPr="009071A2" w:rsidRDefault="00292F11" w:rsidP="00292F11">
      <w:pPr>
        <w:rPr>
          <w:sz w:val="28"/>
          <w:szCs w:val="28"/>
        </w:rPr>
      </w:pPr>
      <w:r w:rsidRPr="009071A2">
        <w:rPr>
          <w:sz w:val="28"/>
          <w:szCs w:val="28"/>
        </w:rPr>
        <w:t xml:space="preserve">Florida families and businesses expect the lights to stay on at a price they can afford. Our energy policies must </w:t>
      </w:r>
      <w:r w:rsidR="002E5AF4" w:rsidRPr="009071A2">
        <w:rPr>
          <w:sz w:val="28"/>
          <w:szCs w:val="28"/>
        </w:rPr>
        <w:t xml:space="preserve">continue to </w:t>
      </w:r>
      <w:r w:rsidRPr="009071A2">
        <w:rPr>
          <w:sz w:val="28"/>
          <w:szCs w:val="28"/>
        </w:rPr>
        <w:t>embrace this fundamental promise</w:t>
      </w:r>
      <w:r w:rsidR="00EE778D">
        <w:rPr>
          <w:sz w:val="28"/>
          <w:szCs w:val="28"/>
        </w:rPr>
        <w:t xml:space="preserve"> of safe, reliable, and affordable electricity to all</w:t>
      </w:r>
      <w:r w:rsidRPr="009071A2">
        <w:rPr>
          <w:sz w:val="28"/>
          <w:szCs w:val="28"/>
        </w:rPr>
        <w:t>.</w:t>
      </w:r>
    </w:p>
    <w:p w14:paraId="4E2F04E5" w14:textId="0E1BCD28" w:rsidR="00C03E91" w:rsidRPr="001C0D51" w:rsidRDefault="00C03E91" w:rsidP="001C0D51">
      <w:pPr>
        <w:rPr>
          <w:sz w:val="28"/>
          <w:szCs w:val="28"/>
        </w:rPr>
      </w:pPr>
      <w:r w:rsidRPr="001C0D51">
        <w:rPr>
          <w:sz w:val="28"/>
          <w:szCs w:val="28"/>
        </w:rPr>
        <w:t>According to the Environmental Protection Agency’s (EPA) Energy Information Administration</w:t>
      </w:r>
      <w:r w:rsidR="00CE65A1">
        <w:rPr>
          <w:sz w:val="28"/>
          <w:szCs w:val="28"/>
        </w:rPr>
        <w:t xml:space="preserve"> (2021)</w:t>
      </w:r>
      <w:r w:rsidRPr="001C0D51">
        <w:rPr>
          <w:sz w:val="28"/>
          <w:szCs w:val="28"/>
        </w:rPr>
        <w:t>, Florida’s electric grid maintains a reliability rate</w:t>
      </w:r>
      <w:r>
        <w:rPr>
          <w:sz w:val="28"/>
          <w:szCs w:val="28"/>
        </w:rPr>
        <w:t xml:space="preserve"> of</w:t>
      </w:r>
      <w:r w:rsidRPr="001C0D51">
        <w:rPr>
          <w:sz w:val="28"/>
          <w:szCs w:val="28"/>
        </w:rPr>
        <w:t xml:space="preserve"> 99.9%. Florida is number two nationally in system average interruption duration (SAIDI) and customer average interruption duration (CAIDI). This calculation is for all events, including major events.  </w:t>
      </w:r>
      <w:r>
        <w:rPr>
          <w:sz w:val="28"/>
          <w:szCs w:val="28"/>
        </w:rPr>
        <w:t>We want to maintain these great ratings.</w:t>
      </w:r>
      <w:r w:rsidR="00FD7550">
        <w:rPr>
          <w:sz w:val="28"/>
          <w:szCs w:val="28"/>
        </w:rPr>
        <w:t xml:space="preserve"> </w:t>
      </w:r>
      <w:hyperlink r:id="rId5" w:tgtFrame="_blank" w:history="1">
        <w:r w:rsidR="00FD7550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https://www.eia.gov/electricity/annual/html/epa_11_03.html</w:t>
        </w:r>
      </w:hyperlink>
    </w:p>
    <w:p w14:paraId="038FE5D8" w14:textId="44A6792B" w:rsidR="00401006" w:rsidRDefault="00BF644B" w:rsidP="00292F11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="00401006">
        <w:rPr>
          <w:sz w:val="28"/>
          <w:szCs w:val="28"/>
        </w:rPr>
        <w:t>Florida and the nation move</w:t>
      </w:r>
      <w:r>
        <w:rPr>
          <w:sz w:val="28"/>
          <w:szCs w:val="28"/>
        </w:rPr>
        <w:t xml:space="preserve"> </w:t>
      </w:r>
      <w:r w:rsidR="00401006" w:rsidRPr="00401006">
        <w:rPr>
          <w:sz w:val="28"/>
          <w:szCs w:val="28"/>
        </w:rPr>
        <w:t xml:space="preserve">towards a future </w:t>
      </w:r>
      <w:r w:rsidR="00EE778D">
        <w:rPr>
          <w:sz w:val="28"/>
          <w:szCs w:val="28"/>
        </w:rPr>
        <w:t>more reliant on electricity to power the economy</w:t>
      </w:r>
      <w:r>
        <w:rPr>
          <w:sz w:val="28"/>
          <w:szCs w:val="28"/>
        </w:rPr>
        <w:t>, t</w:t>
      </w:r>
      <w:r w:rsidR="00401006" w:rsidRPr="00401006">
        <w:rPr>
          <w:sz w:val="28"/>
          <w:szCs w:val="28"/>
        </w:rPr>
        <w:t>oday’s energy decisions will determine if there are enough resources to meet tomorrow’s need</w:t>
      </w:r>
      <w:r w:rsidR="00EE778D">
        <w:rPr>
          <w:sz w:val="28"/>
          <w:szCs w:val="28"/>
        </w:rPr>
        <w:t xml:space="preserve"> of safe, reliable, and affordable energy.</w:t>
      </w:r>
    </w:p>
    <w:p w14:paraId="114F1F17" w14:textId="77777777" w:rsidR="00552C5C" w:rsidRPr="00552C5C" w:rsidRDefault="00552C5C" w:rsidP="00552C5C">
      <w:pPr>
        <w:rPr>
          <w:b/>
          <w:bCs/>
          <w:sz w:val="28"/>
          <w:szCs w:val="28"/>
        </w:rPr>
      </w:pPr>
      <w:r w:rsidRPr="00552C5C">
        <w:rPr>
          <w:b/>
          <w:bCs/>
          <w:sz w:val="28"/>
          <w:szCs w:val="28"/>
        </w:rPr>
        <w:t>Key Points to Hit:</w:t>
      </w:r>
    </w:p>
    <w:p w14:paraId="23685E1F" w14:textId="0E3C95C4" w:rsidR="00552C5C" w:rsidRDefault="00552C5C" w:rsidP="00552C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Floridians need</w:t>
      </w:r>
      <w:r w:rsidRPr="00552C5C">
        <w:rPr>
          <w:sz w:val="28"/>
          <w:szCs w:val="28"/>
        </w:rPr>
        <w:t xml:space="preserve"> power to </w:t>
      </w:r>
      <w:r>
        <w:rPr>
          <w:sz w:val="28"/>
          <w:szCs w:val="28"/>
        </w:rPr>
        <w:t>stay</w:t>
      </w:r>
      <w:r w:rsidRPr="00552C5C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Pr="00552C5C">
        <w:rPr>
          <w:sz w:val="28"/>
          <w:szCs w:val="28"/>
        </w:rPr>
        <w:t xml:space="preserve">, at a price </w:t>
      </w:r>
      <w:r>
        <w:rPr>
          <w:sz w:val="28"/>
          <w:szCs w:val="28"/>
        </w:rPr>
        <w:t>they</w:t>
      </w:r>
      <w:r w:rsidRPr="00552C5C">
        <w:rPr>
          <w:sz w:val="28"/>
          <w:szCs w:val="28"/>
        </w:rPr>
        <w:t xml:space="preserve"> can </w:t>
      </w:r>
      <w:r>
        <w:rPr>
          <w:sz w:val="28"/>
          <w:szCs w:val="28"/>
        </w:rPr>
        <w:t>AFFORD</w:t>
      </w:r>
    </w:p>
    <w:p w14:paraId="2FC8EACB" w14:textId="01A491A5" w:rsidR="00552C5C" w:rsidRDefault="00552C5C" w:rsidP="00552C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Energy decisions/policies must account for safe, reliable, and affordable electricity. Now and tomorrow.</w:t>
      </w:r>
    </w:p>
    <w:p w14:paraId="591DC6FB" w14:textId="4A66FD3D" w:rsidR="00C40107" w:rsidRDefault="00C40107" w:rsidP="00552C5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Keep Florida’s #2 status on reliability (see SAIDI and CAIDI stats above)</w:t>
      </w:r>
    </w:p>
    <w:sectPr w:rsidR="00C40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965"/>
    <w:multiLevelType w:val="hybridMultilevel"/>
    <w:tmpl w:val="F5A6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2056D"/>
    <w:multiLevelType w:val="hybridMultilevel"/>
    <w:tmpl w:val="9104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6525">
    <w:abstractNumId w:val="0"/>
  </w:num>
  <w:num w:numId="2" w16cid:durableId="162391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1"/>
    <w:rsid w:val="000015A0"/>
    <w:rsid w:val="000C3EF1"/>
    <w:rsid w:val="000D4C9D"/>
    <w:rsid w:val="001C0D51"/>
    <w:rsid w:val="00292F11"/>
    <w:rsid w:val="002E387A"/>
    <w:rsid w:val="002E5AF4"/>
    <w:rsid w:val="003E2BAD"/>
    <w:rsid w:val="00401006"/>
    <w:rsid w:val="00552C5C"/>
    <w:rsid w:val="008178BD"/>
    <w:rsid w:val="009071A2"/>
    <w:rsid w:val="00BF644B"/>
    <w:rsid w:val="00C03E91"/>
    <w:rsid w:val="00C40107"/>
    <w:rsid w:val="00CE65A1"/>
    <w:rsid w:val="00D14788"/>
    <w:rsid w:val="00DB470E"/>
    <w:rsid w:val="00EA4CC2"/>
    <w:rsid w:val="00EE778D"/>
    <w:rsid w:val="00F404A1"/>
    <w:rsid w:val="00FD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407E"/>
  <w15:chartTrackingRefBased/>
  <w15:docId w15:val="{87A927F1-0799-40C2-BB15-DF306B8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C9D"/>
    <w:pPr>
      <w:ind w:left="720"/>
      <w:contextualSpacing/>
    </w:pPr>
  </w:style>
  <w:style w:type="paragraph" w:styleId="Revision">
    <w:name w:val="Revision"/>
    <w:hidden/>
    <w:uiPriority w:val="99"/>
    <w:semiHidden/>
    <w:rsid w:val="00DB47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3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7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a.gov/electricity/annual/html/epa_11_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Love</dc:creator>
  <cp:keywords/>
  <dc:description/>
  <cp:lastModifiedBy>Andrew Love</cp:lastModifiedBy>
  <cp:revision>2</cp:revision>
  <cp:lastPrinted>2023-09-19T14:34:00Z</cp:lastPrinted>
  <dcterms:created xsi:type="dcterms:W3CDTF">2023-09-20T18:25:00Z</dcterms:created>
  <dcterms:modified xsi:type="dcterms:W3CDTF">2023-09-20T18:25:00Z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561bd536276927a672283a111109fc26275ec5e601b70be426d283c374b10b70</vt:lpwstr>
  </property>
</Properties>
</file>