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699F" w14:textId="77777777" w:rsidR="00676867" w:rsidRDefault="00284FCD">
      <w:pPr>
        <w:spacing w:before="19" w:line="341" w:lineRule="exact"/>
        <w:ind w:left="2878" w:right="2893"/>
        <w:jc w:val="center"/>
        <w:rPr>
          <w:b/>
          <w:sz w:val="28"/>
        </w:rPr>
      </w:pPr>
      <w:r>
        <w:rPr>
          <w:b/>
          <w:sz w:val="28"/>
        </w:rPr>
        <w:t>FECA’s</w:t>
      </w:r>
      <w:r>
        <w:rPr>
          <w:b/>
          <w:spacing w:val="-5"/>
          <w:sz w:val="28"/>
        </w:rPr>
        <w:t xml:space="preserve"> </w:t>
      </w:r>
      <w:r>
        <w:rPr>
          <w:b/>
          <w:sz w:val="28"/>
        </w:rPr>
        <w:t>Florida</w:t>
      </w:r>
      <w:r>
        <w:rPr>
          <w:b/>
          <w:spacing w:val="-1"/>
          <w:sz w:val="28"/>
        </w:rPr>
        <w:t xml:space="preserve"> </w:t>
      </w:r>
      <w:r>
        <w:rPr>
          <w:b/>
          <w:sz w:val="28"/>
        </w:rPr>
        <w:t>Legislative</w:t>
      </w:r>
      <w:r>
        <w:rPr>
          <w:b/>
          <w:spacing w:val="-2"/>
          <w:sz w:val="28"/>
        </w:rPr>
        <w:t xml:space="preserve"> </w:t>
      </w:r>
      <w:r>
        <w:rPr>
          <w:b/>
          <w:sz w:val="28"/>
        </w:rPr>
        <w:t>Report</w:t>
      </w:r>
    </w:p>
    <w:p w14:paraId="6D2C9F6C" w14:textId="4B0F16D7" w:rsidR="00676867" w:rsidRDefault="00C441F7">
      <w:pPr>
        <w:spacing w:line="341" w:lineRule="exact"/>
        <w:ind w:left="2878" w:right="2837"/>
        <w:jc w:val="center"/>
        <w:rPr>
          <w:b/>
          <w:sz w:val="28"/>
        </w:rPr>
      </w:pPr>
      <w:r>
        <w:rPr>
          <w:b/>
          <w:sz w:val="28"/>
        </w:rPr>
        <w:t>January</w:t>
      </w:r>
      <w:r w:rsidR="0049380E">
        <w:rPr>
          <w:b/>
          <w:sz w:val="28"/>
        </w:rPr>
        <w:t xml:space="preserve"> </w:t>
      </w:r>
      <w:r>
        <w:rPr>
          <w:b/>
          <w:sz w:val="28"/>
        </w:rPr>
        <w:t>2</w:t>
      </w:r>
      <w:r w:rsidR="00086A68">
        <w:rPr>
          <w:b/>
          <w:sz w:val="28"/>
        </w:rPr>
        <w:t>7</w:t>
      </w:r>
      <w:r w:rsidR="00284FCD">
        <w:rPr>
          <w:b/>
          <w:sz w:val="28"/>
        </w:rPr>
        <w:t>,</w:t>
      </w:r>
      <w:r w:rsidR="00284FCD">
        <w:rPr>
          <w:b/>
          <w:spacing w:val="-3"/>
          <w:sz w:val="28"/>
        </w:rPr>
        <w:t xml:space="preserve"> </w:t>
      </w:r>
      <w:r w:rsidR="00284FCD">
        <w:rPr>
          <w:b/>
          <w:sz w:val="28"/>
        </w:rPr>
        <w:t>202</w:t>
      </w:r>
      <w:r>
        <w:rPr>
          <w:b/>
          <w:sz w:val="28"/>
        </w:rPr>
        <w:t>3</w:t>
      </w:r>
    </w:p>
    <w:p w14:paraId="63ECE7F2" w14:textId="77777777" w:rsidR="00676867" w:rsidRDefault="00676867">
      <w:pPr>
        <w:pStyle w:val="BodyText"/>
        <w:ind w:left="0"/>
        <w:rPr>
          <w:b/>
          <w:sz w:val="28"/>
        </w:rPr>
      </w:pPr>
    </w:p>
    <w:p w14:paraId="2F72096D" w14:textId="66C9E825" w:rsidR="008D27EA" w:rsidRDefault="006D60A1" w:rsidP="008D27EA">
      <w:pPr>
        <w:pStyle w:val="BodyText"/>
        <w:spacing w:before="1"/>
        <w:ind w:right="111" w:firstLine="620"/>
        <w:jc w:val="both"/>
      </w:pPr>
      <w:r w:rsidRPr="006D60A1">
        <w:t>The official start of the 202</w:t>
      </w:r>
      <w:r w:rsidR="004E541F">
        <w:t>3</w:t>
      </w:r>
      <w:r w:rsidRPr="006D60A1">
        <w:t xml:space="preserve"> Legislative Session will be Tuesday, </w:t>
      </w:r>
      <w:r w:rsidR="004E541F">
        <w:t>March</w:t>
      </w:r>
      <w:r w:rsidRPr="006D60A1">
        <w:t xml:space="preserve"> </w:t>
      </w:r>
      <w:r w:rsidR="004E541F">
        <w:t>7</w:t>
      </w:r>
      <w:r w:rsidRPr="006D60A1">
        <w:t>, 202</w:t>
      </w:r>
      <w:r w:rsidR="004E541F">
        <w:t>3</w:t>
      </w:r>
      <w:r w:rsidRPr="006D60A1">
        <w:t>.</w:t>
      </w:r>
      <w:r>
        <w:t xml:space="preserve">  </w:t>
      </w:r>
      <w:r w:rsidR="00CC7D31">
        <w:t>As January comes to a close, there are three</w:t>
      </w:r>
      <w:r w:rsidR="0049380E">
        <w:t xml:space="preserve"> committee week</w:t>
      </w:r>
      <w:r w:rsidR="00CC7D31">
        <w:t>s left</w:t>
      </w:r>
      <w:r w:rsidR="0049380E">
        <w:t xml:space="preserve"> ahead of the start of session.</w:t>
      </w:r>
    </w:p>
    <w:p w14:paraId="10F572E8" w14:textId="3345E98D" w:rsidR="009C6230" w:rsidRDefault="009C6230" w:rsidP="008D27EA">
      <w:pPr>
        <w:pStyle w:val="BodyText"/>
        <w:spacing w:before="1"/>
        <w:ind w:right="111" w:firstLine="620"/>
        <w:jc w:val="both"/>
      </w:pPr>
    </w:p>
    <w:p w14:paraId="1D4059A4" w14:textId="52205A1C" w:rsidR="007443D9" w:rsidRDefault="00A14EC2" w:rsidP="008E3DA7">
      <w:pPr>
        <w:pStyle w:val="BodyText"/>
        <w:spacing w:before="1"/>
        <w:ind w:right="111" w:firstLine="620"/>
        <w:jc w:val="both"/>
      </w:pPr>
      <w:r>
        <w:t xml:space="preserve">On the heels of the recent election and </w:t>
      </w:r>
      <w:r w:rsidR="007A20E8">
        <w:t>with</w:t>
      </w:r>
      <w:r>
        <w:t xml:space="preserve"> many n</w:t>
      </w:r>
      <w:r w:rsidR="00CC7D31">
        <w:t>ew legislators</w:t>
      </w:r>
      <w:r>
        <w:t xml:space="preserve"> </w:t>
      </w:r>
      <w:r w:rsidR="007A20E8">
        <w:t xml:space="preserve">getting </w:t>
      </w:r>
      <w:r>
        <w:t xml:space="preserve">up to speed, with regards to the legislative process, only </w:t>
      </w:r>
      <w:r w:rsidR="007443D9">
        <w:t>4</w:t>
      </w:r>
      <w:r w:rsidR="00086A68">
        <w:t>53</w:t>
      </w:r>
      <w:r>
        <w:t xml:space="preserve"> total bills have been filed at this point. This will certainly change as we move along in the process</w:t>
      </w:r>
      <w:r w:rsidR="00CC7D31">
        <w:t>,</w:t>
      </w:r>
      <w:r>
        <w:t xml:space="preserve"> but for now</w:t>
      </w:r>
      <w:r w:rsidR="00CC7D31">
        <w:t>,</w:t>
      </w:r>
      <w:r>
        <w:t xml:space="preserve"> the initial meetings have mainly focused on </w:t>
      </w:r>
      <w:r w:rsidR="00B15A9E">
        <w:t>presentations</w:t>
      </w:r>
      <w:r w:rsidR="00CC7D31">
        <w:t xml:space="preserve"> explaining committee jurisdictions and providing overviews of various issues</w:t>
      </w:r>
      <w:r w:rsidR="00B15A9E">
        <w:t>.</w:t>
      </w:r>
    </w:p>
    <w:p w14:paraId="61875C30" w14:textId="16179C74" w:rsidR="007443D9" w:rsidRDefault="007443D9" w:rsidP="00C47253">
      <w:pPr>
        <w:pStyle w:val="BodyText"/>
        <w:spacing w:before="1"/>
        <w:ind w:left="0" w:right="111"/>
        <w:jc w:val="both"/>
      </w:pPr>
    </w:p>
    <w:p w14:paraId="116D5E5F" w14:textId="723E8556" w:rsidR="007443D9" w:rsidRDefault="007443D9" w:rsidP="00A0601C">
      <w:pPr>
        <w:pStyle w:val="BodyText"/>
        <w:spacing w:before="1"/>
        <w:ind w:right="111" w:firstLine="620"/>
        <w:jc w:val="both"/>
      </w:pPr>
      <w:r>
        <w:t>During a presentation on the P</w:t>
      </w:r>
      <w:r w:rsidR="00CC7D31">
        <w:t xml:space="preserve">ublic </w:t>
      </w:r>
      <w:r>
        <w:t>S</w:t>
      </w:r>
      <w:r w:rsidR="00CC7D31">
        <w:t xml:space="preserve">ervice </w:t>
      </w:r>
      <w:r>
        <w:t>C</w:t>
      </w:r>
      <w:r w:rsidR="00CC7D31">
        <w:t>ommission’s (PSC) jurisdiction by PSC staff</w:t>
      </w:r>
      <w:r w:rsidR="005A7110">
        <w:t xml:space="preserve"> to </w:t>
      </w:r>
      <w:r>
        <w:t>the House Energy, Communications &amp; Cyber Security Subcommittee</w:t>
      </w:r>
      <w:r w:rsidR="005A7110">
        <w:t>,</w:t>
      </w:r>
      <w:r>
        <w:t xml:space="preserve"> Speaker Pro Temp Chuck Clemons</w:t>
      </w:r>
      <w:r w:rsidR="005A7110">
        <w:t xml:space="preserve"> expressed concerns </w:t>
      </w:r>
      <w:r w:rsidR="00CC7D31">
        <w:t>about</w:t>
      </w:r>
      <w:r w:rsidR="005A7110">
        <w:t xml:space="preserve"> municipal utilities</w:t>
      </w:r>
      <w:r w:rsidR="00CC7D31">
        <w:t xml:space="preserve"> serving customers beyond city limits</w:t>
      </w:r>
      <w:r w:rsidR="00A0601C">
        <w:t xml:space="preserve"> in unincorporated areas</w:t>
      </w:r>
      <w:r w:rsidR="005A7110">
        <w:t xml:space="preserve">.  He stated that rate payers are forced to pay surcharges but do not have the ability to vote </w:t>
      </w:r>
      <w:r w:rsidR="00CC7D31">
        <w:t>in</w:t>
      </w:r>
      <w:r w:rsidR="005A7110">
        <w:t xml:space="preserve"> municipal </w:t>
      </w:r>
      <w:r w:rsidR="00CC7D31">
        <w:t>elections</w:t>
      </w:r>
      <w:r w:rsidR="005A7110">
        <w:t xml:space="preserve"> or appeal territory changes and asked if these types of issues should fall under the purview of the PSC</w:t>
      </w:r>
      <w:r w:rsidR="00CC7D31">
        <w:t>.  After PSC’s staff responded,</w:t>
      </w:r>
      <w:r w:rsidR="00A0601C">
        <w:t xml:space="preserve"> Rep. Mike Caruso</w:t>
      </w:r>
      <w:r w:rsidR="005A7110">
        <w:t xml:space="preserve"> </w:t>
      </w:r>
      <w:r w:rsidR="00A0601C">
        <w:t>stated that legislation m</w:t>
      </w:r>
      <w:r w:rsidR="00CC7D31">
        <w:t>ight</w:t>
      </w:r>
      <w:r w:rsidR="00A0601C">
        <w:t xml:space="preserve"> need to be drafted to provide the PSC with authority over municipal rate</w:t>
      </w:r>
      <w:r w:rsidR="007A20E8">
        <w:t>s</w:t>
      </w:r>
      <w:r w:rsidR="00A0601C">
        <w:t xml:space="preserve">. </w:t>
      </w:r>
      <w:r>
        <w:t xml:space="preserve"> </w:t>
      </w:r>
    </w:p>
    <w:p w14:paraId="48F82028" w14:textId="71F67884" w:rsidR="00FB6F5E" w:rsidRDefault="00FB6F5E" w:rsidP="00A0601C">
      <w:pPr>
        <w:pStyle w:val="BodyText"/>
        <w:spacing w:before="1"/>
        <w:ind w:right="111" w:firstLine="620"/>
        <w:jc w:val="both"/>
      </w:pPr>
    </w:p>
    <w:p w14:paraId="177A65ED" w14:textId="5FB89F98" w:rsidR="00FB6F5E" w:rsidRDefault="00FB6F5E" w:rsidP="00A0601C">
      <w:pPr>
        <w:pStyle w:val="BodyText"/>
        <w:spacing w:before="1"/>
        <w:ind w:right="111" w:firstLine="620"/>
        <w:jc w:val="both"/>
      </w:pPr>
      <w:r>
        <w:t xml:space="preserve">The House Select Committee on Hurricane Resiliency &amp; Recovery has requested FECA provide a presentation on the responses to both hurricanes Ian and Nicole.  Staff will provide additional detail </w:t>
      </w:r>
      <w:r w:rsidR="00C47253">
        <w:t>as it becomes available</w:t>
      </w:r>
      <w:r>
        <w:t xml:space="preserve">.  The select committee is scheduled for February 16 and the time is TBD. </w:t>
      </w:r>
      <w:r w:rsidR="00C47253">
        <w:t xml:space="preserve"> As of yet, we have not been contacted about appearing before the Senate’s corresponding committee, but we expect to hear from them soon.</w:t>
      </w:r>
    </w:p>
    <w:p w14:paraId="1B93EBBA" w14:textId="14C6FE1D" w:rsidR="00C47253" w:rsidRDefault="00C47253" w:rsidP="00A0601C">
      <w:pPr>
        <w:pStyle w:val="BodyText"/>
        <w:spacing w:before="1"/>
        <w:ind w:right="111" w:firstLine="620"/>
        <w:jc w:val="both"/>
      </w:pPr>
    </w:p>
    <w:p w14:paraId="310F5336" w14:textId="276B1337" w:rsidR="00C47253" w:rsidRPr="00A0601C" w:rsidRDefault="00C47253" w:rsidP="00C47253">
      <w:pPr>
        <w:pStyle w:val="BodyText"/>
        <w:spacing w:before="1"/>
        <w:ind w:right="111" w:firstLine="620"/>
        <w:jc w:val="both"/>
      </w:pPr>
      <w:r>
        <w:t xml:space="preserve">In addition to this week’s committees, FECA conducted the annual lobby clinic on January 24 and 25.  The attendees received Federal updates from Gabe Snow with NRECA and Michael Nolan.  Mike Bjorklund and Drew Love provided an overview of state election results, key committees and potential issues for the upcoming session. </w:t>
      </w:r>
    </w:p>
    <w:p w14:paraId="170FC0EF" w14:textId="77777777" w:rsidR="00D36622" w:rsidRDefault="00D36622" w:rsidP="00A0601C">
      <w:pPr>
        <w:pStyle w:val="BodyText"/>
        <w:ind w:left="0" w:right="113"/>
        <w:jc w:val="both"/>
      </w:pPr>
    </w:p>
    <w:p w14:paraId="59007B44" w14:textId="36048E6A" w:rsidR="00745714" w:rsidRPr="000B62EF" w:rsidRDefault="00284FCD" w:rsidP="000B62EF">
      <w:pPr>
        <w:pStyle w:val="BodyText"/>
        <w:ind w:right="113" w:firstLine="719"/>
        <w:jc w:val="both"/>
      </w:pPr>
      <w:r>
        <w:t xml:space="preserve">Below are bills of interest filed thus far. </w:t>
      </w:r>
      <w:r w:rsidR="00B15A9E">
        <w:t>Moving forward e</w:t>
      </w:r>
      <w:r>
        <w:t>ach week, the report will prioritize in the</w:t>
      </w:r>
      <w:r>
        <w:rPr>
          <w:spacing w:val="1"/>
        </w:rPr>
        <w:t xml:space="preserve"> </w:t>
      </w:r>
      <w:r>
        <w:t>following</w:t>
      </w:r>
      <w:r>
        <w:rPr>
          <w:spacing w:val="-6"/>
        </w:rPr>
        <w:t xml:space="preserve"> </w:t>
      </w:r>
      <w:r>
        <w:t>manner:</w:t>
      </w:r>
      <w:r>
        <w:rPr>
          <w:spacing w:val="-5"/>
        </w:rPr>
        <w:t xml:space="preserve"> </w:t>
      </w:r>
      <w:r>
        <w:t>new</w:t>
      </w:r>
      <w:r>
        <w:rPr>
          <w:spacing w:val="-5"/>
        </w:rPr>
        <w:t xml:space="preserve"> </w:t>
      </w:r>
      <w:r>
        <w:t>legislation</w:t>
      </w:r>
      <w:r>
        <w:rPr>
          <w:spacing w:val="-5"/>
        </w:rPr>
        <w:t xml:space="preserve"> </w:t>
      </w:r>
      <w:r>
        <w:t>filed,</w:t>
      </w:r>
      <w:r>
        <w:rPr>
          <w:spacing w:val="-6"/>
        </w:rPr>
        <w:t xml:space="preserve"> </w:t>
      </w:r>
      <w:r>
        <w:t>priority,</w:t>
      </w:r>
      <w:r>
        <w:rPr>
          <w:spacing w:val="-6"/>
        </w:rPr>
        <w:t xml:space="preserve"> </w:t>
      </w:r>
      <w:r>
        <w:t>monitor,</w:t>
      </w:r>
      <w:r>
        <w:rPr>
          <w:spacing w:val="-6"/>
        </w:rPr>
        <w:t xml:space="preserve"> </w:t>
      </w:r>
      <w:r>
        <w:t>and</w:t>
      </w:r>
      <w:r>
        <w:rPr>
          <w:spacing w:val="-5"/>
        </w:rPr>
        <w:t xml:space="preserve"> </w:t>
      </w:r>
      <w:r>
        <w:t>tracking.</w:t>
      </w:r>
      <w:r>
        <w:rPr>
          <w:spacing w:val="-7"/>
        </w:rPr>
        <w:t xml:space="preserve"> </w:t>
      </w:r>
      <w:r>
        <w:t>Any</w:t>
      </w:r>
      <w:r>
        <w:rPr>
          <w:spacing w:val="-7"/>
        </w:rPr>
        <w:t xml:space="preserve"> </w:t>
      </w:r>
      <w:r>
        <w:t>new</w:t>
      </w:r>
      <w:r>
        <w:rPr>
          <w:spacing w:val="-7"/>
        </w:rPr>
        <w:t xml:space="preserve"> </w:t>
      </w:r>
      <w:r>
        <w:t>activities</w:t>
      </w:r>
      <w:r>
        <w:rPr>
          <w:spacing w:val="-6"/>
        </w:rPr>
        <w:t xml:space="preserve"> </w:t>
      </w:r>
      <w:r>
        <w:t>will</w:t>
      </w:r>
      <w:r>
        <w:rPr>
          <w:spacing w:val="-9"/>
        </w:rPr>
        <w:t xml:space="preserve"> </w:t>
      </w:r>
      <w:r>
        <w:t>be</w:t>
      </w:r>
      <w:r>
        <w:rPr>
          <w:spacing w:val="-52"/>
        </w:rPr>
        <w:t xml:space="preserve"> </w:t>
      </w:r>
      <w:r>
        <w:t>highlighted</w:t>
      </w:r>
      <w:r>
        <w:rPr>
          <w:spacing w:val="1"/>
        </w:rPr>
        <w:t xml:space="preserve"> </w:t>
      </w:r>
      <w:r>
        <w:t>in</w:t>
      </w:r>
      <w:r>
        <w:rPr>
          <w:spacing w:val="1"/>
        </w:rPr>
        <w:t xml:space="preserve"> </w:t>
      </w:r>
      <w:r>
        <w:rPr>
          <w:color w:val="FF0000"/>
        </w:rPr>
        <w:t>RED</w:t>
      </w:r>
      <w:r>
        <w:t>. If</w:t>
      </w:r>
      <w:r>
        <w:rPr>
          <w:spacing w:val="1"/>
        </w:rPr>
        <w:t xml:space="preserve"> </w:t>
      </w:r>
      <w:r>
        <w:t>you</w:t>
      </w:r>
      <w:r>
        <w:rPr>
          <w:spacing w:val="1"/>
        </w:rPr>
        <w:t xml:space="preserve"> </w:t>
      </w:r>
      <w:r>
        <w:t>would</w:t>
      </w:r>
      <w:r>
        <w:rPr>
          <w:spacing w:val="1"/>
        </w:rPr>
        <w:t xml:space="preserve"> </w:t>
      </w:r>
      <w:r>
        <w:t>like</w:t>
      </w:r>
      <w:r>
        <w:rPr>
          <w:spacing w:val="1"/>
        </w:rPr>
        <w:t xml:space="preserve"> </w:t>
      </w:r>
      <w:r>
        <w:t>more detailed information or</w:t>
      </w:r>
      <w:r>
        <w:rPr>
          <w:spacing w:val="1"/>
        </w:rPr>
        <w:t xml:space="preserve"> </w:t>
      </w:r>
      <w:r>
        <w:t>an</w:t>
      </w:r>
      <w:r>
        <w:rPr>
          <w:spacing w:val="1"/>
        </w:rPr>
        <w:t xml:space="preserve"> </w:t>
      </w:r>
      <w:r>
        <w:t>explanation</w:t>
      </w:r>
      <w:r>
        <w:rPr>
          <w:spacing w:val="1"/>
        </w:rPr>
        <w:t xml:space="preserve"> </w:t>
      </w:r>
      <w:r>
        <w:t>on</w:t>
      </w:r>
      <w:r>
        <w:rPr>
          <w:spacing w:val="1"/>
        </w:rPr>
        <w:t xml:space="preserve"> </w:t>
      </w:r>
      <w:r>
        <w:t>any</w:t>
      </w:r>
      <w:r>
        <w:rPr>
          <w:spacing w:val="1"/>
        </w:rPr>
        <w:t xml:space="preserve"> </w:t>
      </w:r>
      <w:r>
        <w:t xml:space="preserve">legislation or why it is located in a specific area, please do not hesitate to reach out to </w:t>
      </w:r>
      <w:r w:rsidR="00B15A9E">
        <w:t>Drew</w:t>
      </w:r>
      <w:r>
        <w:t xml:space="preserve"> </w:t>
      </w:r>
      <w:r w:rsidR="000B62EF">
        <w:t xml:space="preserve">or Mike. </w:t>
      </w:r>
    </w:p>
    <w:p w14:paraId="401097B0" w14:textId="77777777" w:rsidR="00563843" w:rsidRPr="00563843" w:rsidRDefault="00563843" w:rsidP="00563843">
      <w:pPr>
        <w:spacing w:before="35"/>
        <w:ind w:left="1440" w:right="1440"/>
        <w:rPr>
          <w:b/>
          <w:color w:val="000000" w:themeColor="text1"/>
          <w:sz w:val="32"/>
          <w:u w:val="single" w:color="FF0000"/>
        </w:rPr>
      </w:pPr>
    </w:p>
    <w:p w14:paraId="43142862" w14:textId="73879FD2" w:rsidR="00745714" w:rsidRDefault="0000388F">
      <w:pPr>
        <w:spacing w:before="35"/>
        <w:ind w:left="3133" w:right="3152"/>
        <w:jc w:val="center"/>
        <w:rPr>
          <w:b/>
          <w:color w:val="FF0000"/>
          <w:sz w:val="32"/>
          <w:u w:val="single" w:color="FF0000"/>
        </w:rPr>
      </w:pPr>
      <w:r>
        <w:rPr>
          <w:b/>
          <w:color w:val="FF0000"/>
          <w:sz w:val="32"/>
          <w:u w:val="single" w:color="FF0000"/>
        </w:rPr>
        <w:t>NEW LEGISLATION FILED</w:t>
      </w:r>
    </w:p>
    <w:p w14:paraId="062A5ADF" w14:textId="77777777" w:rsidR="009C0D89" w:rsidRDefault="009C0D89" w:rsidP="00610D06">
      <w:pPr>
        <w:pStyle w:val="Heading1"/>
        <w:spacing w:before="1"/>
      </w:pPr>
    </w:p>
    <w:p w14:paraId="42EFC996" w14:textId="406CF50C" w:rsidR="00610D06" w:rsidRDefault="004E541F" w:rsidP="00610D06">
      <w:pPr>
        <w:pStyle w:val="Heading1"/>
        <w:spacing w:before="1"/>
        <w:rPr>
          <w:u w:val="none"/>
        </w:rPr>
      </w:pPr>
      <w:r>
        <w:t>Trees and Other Vegetation within Rights-of-way</w:t>
      </w:r>
    </w:p>
    <w:p w14:paraId="041559B6" w14:textId="6C00706E" w:rsidR="00610D06" w:rsidRPr="00DE48EB" w:rsidRDefault="00610D06" w:rsidP="00610D06">
      <w:pPr>
        <w:pStyle w:val="Heading3"/>
        <w:rPr>
          <w:color w:val="000000" w:themeColor="text1"/>
        </w:rPr>
      </w:pPr>
      <w:r>
        <w:t>(SB</w:t>
      </w:r>
      <w:r>
        <w:rPr>
          <w:spacing w:val="-3"/>
        </w:rPr>
        <w:t xml:space="preserve"> </w:t>
      </w:r>
      <w:r>
        <w:t>10</w:t>
      </w:r>
      <w:r w:rsidR="004E541F">
        <w:t>8</w:t>
      </w:r>
      <w:r>
        <w:t>/ HB</w:t>
      </w:r>
      <w:r>
        <w:rPr>
          <w:color w:val="FF0000"/>
        </w:rPr>
        <w:t xml:space="preserve"> </w:t>
      </w:r>
      <w:r w:rsidR="004E541F">
        <w:rPr>
          <w:color w:val="000000" w:themeColor="text1"/>
        </w:rPr>
        <w:t>55</w:t>
      </w:r>
      <w:r w:rsidRPr="00DE48EB">
        <w:rPr>
          <w:color w:val="000000" w:themeColor="text1"/>
        </w:rPr>
        <w:t>)</w:t>
      </w:r>
    </w:p>
    <w:p w14:paraId="421F42E8" w14:textId="56698C92" w:rsidR="00610D06" w:rsidRPr="00DE48EB" w:rsidRDefault="00610D06" w:rsidP="00610D06">
      <w:pPr>
        <w:ind w:left="100"/>
        <w:rPr>
          <w:color w:val="000000" w:themeColor="text1"/>
          <w:sz w:val="24"/>
        </w:rPr>
      </w:pPr>
      <w:r w:rsidRPr="00DE48EB">
        <w:rPr>
          <w:b/>
          <w:color w:val="000000" w:themeColor="text1"/>
          <w:sz w:val="24"/>
        </w:rPr>
        <w:t>Sponsors</w:t>
      </w:r>
      <w:r w:rsidRPr="00DE48EB">
        <w:rPr>
          <w:color w:val="000000" w:themeColor="text1"/>
          <w:sz w:val="24"/>
        </w:rPr>
        <w:t>:</w:t>
      </w:r>
      <w:r w:rsidRPr="00DE48EB">
        <w:rPr>
          <w:color w:val="000000" w:themeColor="text1"/>
          <w:spacing w:val="-2"/>
          <w:sz w:val="24"/>
        </w:rPr>
        <w:t xml:space="preserve"> </w:t>
      </w:r>
      <w:r w:rsidRPr="00DE48EB">
        <w:rPr>
          <w:color w:val="000000" w:themeColor="text1"/>
          <w:sz w:val="24"/>
        </w:rPr>
        <w:t>Sen.</w:t>
      </w:r>
      <w:r w:rsidRPr="00DE48EB">
        <w:rPr>
          <w:color w:val="000000" w:themeColor="text1"/>
          <w:spacing w:val="-3"/>
          <w:sz w:val="24"/>
        </w:rPr>
        <w:t xml:space="preserve"> </w:t>
      </w:r>
      <w:r w:rsidR="004E541F">
        <w:rPr>
          <w:color w:val="000000" w:themeColor="text1"/>
          <w:sz w:val="24"/>
        </w:rPr>
        <w:t>Rodriguez</w:t>
      </w:r>
      <w:r w:rsidRPr="00DE48EB">
        <w:rPr>
          <w:color w:val="000000" w:themeColor="text1"/>
          <w:sz w:val="24"/>
        </w:rPr>
        <w:t xml:space="preserve">/Rep. </w:t>
      </w:r>
      <w:r w:rsidR="004E541F">
        <w:rPr>
          <w:color w:val="000000" w:themeColor="text1"/>
          <w:sz w:val="24"/>
        </w:rPr>
        <w:t>Garcia</w:t>
      </w:r>
    </w:p>
    <w:p w14:paraId="44568311" w14:textId="0D890B43" w:rsidR="00610D06" w:rsidRDefault="00610D06" w:rsidP="00610D06">
      <w:pPr>
        <w:pStyle w:val="Heading2"/>
      </w:pPr>
      <w:r>
        <w:t>Summary:</w:t>
      </w:r>
    </w:p>
    <w:p w14:paraId="2B127476" w14:textId="4078CAC7" w:rsidR="00D94EDE" w:rsidRDefault="00FD23B3" w:rsidP="009C6230">
      <w:pPr>
        <w:pStyle w:val="Heading2"/>
        <w:jc w:val="both"/>
        <w:rPr>
          <w:b w:val="0"/>
          <w:bCs w:val="0"/>
        </w:rPr>
      </w:pPr>
      <w:r>
        <w:rPr>
          <w:b w:val="0"/>
          <w:bCs w:val="0"/>
        </w:rPr>
        <w:t xml:space="preserve">The bill </w:t>
      </w:r>
      <w:r w:rsidR="00B63C22">
        <w:rPr>
          <w:b w:val="0"/>
          <w:bCs w:val="0"/>
        </w:rPr>
        <w:t>provides that the current prohibition against the removal, cutting, marring, defacing or destruction of trees or other vegetation within the rights-of-way of roads of the state highway system does not apply if the Department of Transportation</w:t>
      </w:r>
      <w:r w:rsidR="00E563FA">
        <w:rPr>
          <w:b w:val="0"/>
          <w:bCs w:val="0"/>
        </w:rPr>
        <w:t xml:space="preserve"> (DOT)</w:t>
      </w:r>
      <w:r w:rsidR="00B63C22">
        <w:rPr>
          <w:b w:val="0"/>
          <w:bCs w:val="0"/>
        </w:rPr>
        <w:t xml:space="preserve"> suspends the prohibition due to a declared state of emergency.</w:t>
      </w:r>
      <w:r w:rsidR="00E563FA">
        <w:rPr>
          <w:b w:val="0"/>
          <w:bCs w:val="0"/>
        </w:rPr>
        <w:t xml:space="preserve"> It requires DOT to adopt guidelines related to the removal process for debris from </w:t>
      </w:r>
      <w:r w:rsidR="00E563FA">
        <w:rPr>
          <w:b w:val="0"/>
          <w:bCs w:val="0"/>
        </w:rPr>
        <w:lastRenderedPageBreak/>
        <w:t xml:space="preserve">an emergency that is subject to an emergency declaration such as a hurricane or tropical storm. </w:t>
      </w:r>
    </w:p>
    <w:p w14:paraId="13511628" w14:textId="058D118A" w:rsidR="009C6230" w:rsidRPr="00B63C22" w:rsidRDefault="009C6230" w:rsidP="00B63C22">
      <w:pPr>
        <w:pStyle w:val="Heading2"/>
        <w:jc w:val="both"/>
        <w:rPr>
          <w:b w:val="0"/>
          <w:bCs w:val="0"/>
        </w:rPr>
      </w:pPr>
    </w:p>
    <w:p w14:paraId="447B91E9" w14:textId="77777777" w:rsidR="00610D06" w:rsidRDefault="00610D06" w:rsidP="00610D06">
      <w:pPr>
        <w:pStyle w:val="Heading2"/>
        <w:spacing w:line="292" w:lineRule="exact"/>
        <w:jc w:val="both"/>
      </w:pPr>
      <w:r>
        <w:t>Committee</w:t>
      </w:r>
      <w:r>
        <w:rPr>
          <w:spacing w:val="-4"/>
        </w:rPr>
        <w:t xml:space="preserve"> </w:t>
      </w:r>
      <w:r>
        <w:t>Assignments:</w:t>
      </w:r>
    </w:p>
    <w:p w14:paraId="53997980" w14:textId="1E692275" w:rsidR="00610D06" w:rsidRDefault="00610D06" w:rsidP="00610D06">
      <w:pPr>
        <w:pStyle w:val="BodyText"/>
        <w:ind w:right="720"/>
      </w:pPr>
      <w:r>
        <w:t>SB 10</w:t>
      </w:r>
      <w:r w:rsidR="0082228B">
        <w:t>8</w:t>
      </w:r>
      <w:r>
        <w:t xml:space="preserve">: </w:t>
      </w:r>
      <w:r w:rsidR="0082228B">
        <w:t>Transportation; Community Affairs; Rules</w:t>
      </w:r>
    </w:p>
    <w:p w14:paraId="41D705E2" w14:textId="284F05A7" w:rsidR="00610D06" w:rsidRPr="0049380E" w:rsidRDefault="00610D06" w:rsidP="00610D06">
      <w:pPr>
        <w:pStyle w:val="BodyText"/>
        <w:ind w:right="720"/>
        <w:rPr>
          <w:color w:val="FF0000"/>
        </w:rPr>
      </w:pPr>
      <w:r>
        <w:t xml:space="preserve">HB </w:t>
      </w:r>
      <w:r w:rsidR="0082228B">
        <w:t>55</w:t>
      </w:r>
      <w:r>
        <w:t xml:space="preserve">: </w:t>
      </w:r>
      <w:r w:rsidR="0082228B">
        <w:t>Transportation &amp; Modals; Constitutional Rights, Rule of Law &amp; Government Operations; Infrastructure Strategies</w:t>
      </w:r>
    </w:p>
    <w:p w14:paraId="541E569C" w14:textId="1A62EBC3" w:rsidR="00DA403B" w:rsidRPr="008918E9" w:rsidRDefault="00610D06" w:rsidP="008918E9">
      <w:pPr>
        <w:ind w:left="100"/>
        <w:rPr>
          <w:b/>
          <w:sz w:val="28"/>
        </w:rPr>
      </w:pPr>
      <w:r>
        <w:rPr>
          <w:b/>
          <w:sz w:val="28"/>
        </w:rPr>
        <w:t>ACTION</w:t>
      </w:r>
      <w:r>
        <w:rPr>
          <w:b/>
          <w:spacing w:val="-4"/>
          <w:sz w:val="28"/>
        </w:rPr>
        <w:t xml:space="preserve"> </w:t>
      </w:r>
      <w:r>
        <w:rPr>
          <w:b/>
          <w:sz w:val="28"/>
        </w:rPr>
        <w:t>RECOMMENDED:</w:t>
      </w:r>
      <w:r>
        <w:rPr>
          <w:b/>
          <w:spacing w:val="-4"/>
          <w:sz w:val="28"/>
        </w:rPr>
        <w:t xml:space="preserve"> </w:t>
      </w:r>
      <w:r w:rsidR="0082228B">
        <w:rPr>
          <w:b/>
          <w:sz w:val="28"/>
        </w:rPr>
        <w:t>SUPPORT</w:t>
      </w:r>
    </w:p>
    <w:p w14:paraId="0083FC8C" w14:textId="49DB6B48" w:rsidR="00676867" w:rsidRDefault="00676867" w:rsidP="003E2C12">
      <w:pPr>
        <w:spacing w:before="35"/>
        <w:ind w:right="3152"/>
        <w:rPr>
          <w:b/>
          <w:color w:val="FF0000"/>
          <w:sz w:val="32"/>
          <w:u w:val="single" w:color="FF0000"/>
        </w:rPr>
      </w:pPr>
    </w:p>
    <w:p w14:paraId="627C46C5" w14:textId="6269586B" w:rsidR="00676867" w:rsidRDefault="00D67437">
      <w:pPr>
        <w:pStyle w:val="Heading1"/>
        <w:spacing w:before="1"/>
        <w:rPr>
          <w:u w:val="none"/>
        </w:rPr>
      </w:pPr>
      <w:r>
        <w:t>Energy</w:t>
      </w:r>
    </w:p>
    <w:p w14:paraId="54B3F172" w14:textId="3C81ACD0" w:rsidR="00676867" w:rsidRPr="00DE48EB" w:rsidRDefault="00284FCD">
      <w:pPr>
        <w:pStyle w:val="Heading3"/>
        <w:rPr>
          <w:color w:val="000000" w:themeColor="text1"/>
        </w:rPr>
      </w:pPr>
      <w:r>
        <w:t>(SB</w:t>
      </w:r>
      <w:r>
        <w:rPr>
          <w:spacing w:val="-3"/>
        </w:rPr>
        <w:t xml:space="preserve"> </w:t>
      </w:r>
      <w:r w:rsidR="00D67437">
        <w:t>284</w:t>
      </w:r>
      <w:r>
        <w:t>/HB</w:t>
      </w:r>
      <w:r w:rsidRPr="00DE48EB">
        <w:rPr>
          <w:color w:val="000000" w:themeColor="text1"/>
        </w:rPr>
        <w:t>)</w:t>
      </w:r>
    </w:p>
    <w:p w14:paraId="16428DB7" w14:textId="2A2C0E48" w:rsidR="00676867" w:rsidRPr="00DE48EB" w:rsidRDefault="00284FCD">
      <w:pPr>
        <w:ind w:left="100"/>
        <w:rPr>
          <w:color w:val="000000" w:themeColor="text1"/>
          <w:sz w:val="24"/>
        </w:rPr>
      </w:pPr>
      <w:r w:rsidRPr="00DE48EB">
        <w:rPr>
          <w:b/>
          <w:color w:val="000000" w:themeColor="text1"/>
          <w:sz w:val="24"/>
        </w:rPr>
        <w:t>Sponsors</w:t>
      </w:r>
      <w:r w:rsidRPr="00DE48EB">
        <w:rPr>
          <w:color w:val="000000" w:themeColor="text1"/>
          <w:sz w:val="24"/>
        </w:rPr>
        <w:t>:</w:t>
      </w:r>
      <w:r w:rsidRPr="00DE48EB">
        <w:rPr>
          <w:color w:val="000000" w:themeColor="text1"/>
          <w:spacing w:val="-2"/>
          <w:sz w:val="24"/>
        </w:rPr>
        <w:t xml:space="preserve"> </w:t>
      </w:r>
      <w:r w:rsidRPr="00DE48EB">
        <w:rPr>
          <w:color w:val="000000" w:themeColor="text1"/>
          <w:sz w:val="24"/>
        </w:rPr>
        <w:t>Sen.</w:t>
      </w:r>
      <w:r w:rsidRPr="00DE48EB">
        <w:rPr>
          <w:color w:val="000000" w:themeColor="text1"/>
          <w:spacing w:val="-3"/>
          <w:sz w:val="24"/>
        </w:rPr>
        <w:t xml:space="preserve"> </w:t>
      </w:r>
      <w:r w:rsidR="00D67437">
        <w:rPr>
          <w:color w:val="000000" w:themeColor="text1"/>
          <w:sz w:val="24"/>
        </w:rPr>
        <w:t>Brodeur</w:t>
      </w:r>
      <w:r w:rsidRPr="00DE48EB">
        <w:rPr>
          <w:color w:val="000000" w:themeColor="text1"/>
          <w:sz w:val="24"/>
        </w:rPr>
        <w:t>/Rep.</w:t>
      </w:r>
    </w:p>
    <w:p w14:paraId="12435D28" w14:textId="67519716" w:rsidR="00676867" w:rsidRDefault="00284FCD">
      <w:pPr>
        <w:pStyle w:val="Heading2"/>
      </w:pPr>
      <w:r>
        <w:t>Summary:</w:t>
      </w:r>
    </w:p>
    <w:p w14:paraId="401E0241" w14:textId="30237F54" w:rsidR="00FF3024" w:rsidRPr="00FF3024" w:rsidRDefault="00FF3024" w:rsidP="00FF3024">
      <w:pPr>
        <w:pStyle w:val="Heading2"/>
        <w:ind w:left="0"/>
        <w:rPr>
          <w:b w:val="0"/>
          <w:bCs w:val="0"/>
        </w:rPr>
      </w:pPr>
      <w:r>
        <w:t xml:space="preserve">  </w:t>
      </w:r>
      <w:r>
        <w:rPr>
          <w:b w:val="0"/>
          <w:bCs w:val="0"/>
        </w:rPr>
        <w:t xml:space="preserve">The bill revises the selection criteria for purchasing or leasing vehicles for a state agency, universities, community colleges, and local governments under the state purchasing plan. It removes the provision requiring the use and procurement of ethanol and biodiesel blended fuels and requires the Department of Management Services, before July 1, 2024, to make recommendations to all state agencies, universities, community colleges, and local governments regarding the procurement of electric </w:t>
      </w:r>
      <w:r w:rsidR="00C57BDB">
        <w:rPr>
          <w:b w:val="0"/>
          <w:bCs w:val="0"/>
        </w:rPr>
        <w:t xml:space="preserve">and natural gas fuel vehicles and best practices for integrating these vehicles into existing fleets. </w:t>
      </w:r>
      <w:r>
        <w:rPr>
          <w:b w:val="0"/>
          <w:bCs w:val="0"/>
        </w:rPr>
        <w:t xml:space="preserve"> </w:t>
      </w:r>
    </w:p>
    <w:p w14:paraId="44D7E833" w14:textId="77777777" w:rsidR="00676867" w:rsidRDefault="00284FCD">
      <w:pPr>
        <w:pStyle w:val="Heading2"/>
        <w:spacing w:line="292" w:lineRule="exact"/>
        <w:jc w:val="both"/>
      </w:pPr>
      <w:r>
        <w:t>Committee</w:t>
      </w:r>
      <w:r>
        <w:rPr>
          <w:spacing w:val="-4"/>
        </w:rPr>
        <w:t xml:space="preserve"> </w:t>
      </w:r>
      <w:r>
        <w:t>Assignments:</w:t>
      </w:r>
    </w:p>
    <w:p w14:paraId="5B56FF74" w14:textId="375D13F9" w:rsidR="00B55509" w:rsidRDefault="00B55509" w:rsidP="000414C4">
      <w:pPr>
        <w:pStyle w:val="BodyText"/>
        <w:ind w:right="720"/>
      </w:pPr>
      <w:r>
        <w:t xml:space="preserve">SB </w:t>
      </w:r>
      <w:r w:rsidR="00D67437">
        <w:t>284</w:t>
      </w:r>
      <w:r>
        <w:t xml:space="preserve">: </w:t>
      </w:r>
      <w:r w:rsidR="00C47253">
        <w:t>Governmental Oversight &amp; Accountability; Appropriations Committee on Agriculture, Environment &amp; General Government; Fiscal Policy</w:t>
      </w:r>
    </w:p>
    <w:p w14:paraId="2215DE8E" w14:textId="67E5E927" w:rsidR="000414C4" w:rsidRPr="0049380E" w:rsidRDefault="000414C4" w:rsidP="000414C4">
      <w:pPr>
        <w:pStyle w:val="BodyText"/>
        <w:ind w:right="720"/>
        <w:rPr>
          <w:color w:val="FF0000"/>
        </w:rPr>
      </w:pPr>
      <w:r>
        <w:t>HB</w:t>
      </w:r>
      <w:r w:rsidR="00D67437">
        <w:t>:</w:t>
      </w:r>
    </w:p>
    <w:p w14:paraId="052DF6EE" w14:textId="2B7FF7C9" w:rsidR="00676867" w:rsidRDefault="00284FCD">
      <w:pPr>
        <w:ind w:left="100"/>
        <w:rPr>
          <w:b/>
          <w:sz w:val="28"/>
        </w:rPr>
      </w:pPr>
      <w:r>
        <w:rPr>
          <w:b/>
          <w:sz w:val="28"/>
        </w:rPr>
        <w:t>ACTION</w:t>
      </w:r>
      <w:r>
        <w:rPr>
          <w:b/>
          <w:spacing w:val="-4"/>
          <w:sz w:val="28"/>
        </w:rPr>
        <w:t xml:space="preserve"> </w:t>
      </w:r>
      <w:r>
        <w:rPr>
          <w:b/>
          <w:sz w:val="28"/>
        </w:rPr>
        <w:t>RECOMMENDED:</w:t>
      </w:r>
      <w:r>
        <w:rPr>
          <w:b/>
          <w:spacing w:val="-4"/>
          <w:sz w:val="28"/>
        </w:rPr>
        <w:t xml:space="preserve"> </w:t>
      </w:r>
      <w:r w:rsidR="00FF3024">
        <w:rPr>
          <w:b/>
          <w:sz w:val="28"/>
        </w:rPr>
        <w:t>NEUTRAL</w:t>
      </w:r>
    </w:p>
    <w:p w14:paraId="4F66CEAB" w14:textId="77777777" w:rsidR="00676867" w:rsidRDefault="00676867">
      <w:pPr>
        <w:pStyle w:val="BodyText"/>
        <w:spacing w:before="1"/>
        <w:ind w:left="0"/>
        <w:rPr>
          <w:b/>
          <w:sz w:val="32"/>
        </w:rPr>
      </w:pPr>
    </w:p>
    <w:p w14:paraId="77086C1F" w14:textId="77777777" w:rsidR="00542A89" w:rsidRDefault="00542A89" w:rsidP="00542A89">
      <w:pPr>
        <w:pStyle w:val="Heading1"/>
        <w:rPr>
          <w:u w:val="none"/>
        </w:rPr>
      </w:pPr>
      <w:bookmarkStart w:id="0" w:name="_Hlk86917935"/>
      <w:r>
        <w:t>Energy Equity Task Force</w:t>
      </w:r>
    </w:p>
    <w:p w14:paraId="1928D5B4" w14:textId="331762C6" w:rsidR="00542A89" w:rsidRPr="00B62B4E" w:rsidRDefault="00542A89" w:rsidP="00542A89">
      <w:pPr>
        <w:pStyle w:val="Heading3"/>
        <w:tabs>
          <w:tab w:val="left" w:pos="1914"/>
        </w:tabs>
      </w:pPr>
      <w:r>
        <w:t>(SB/</w:t>
      </w:r>
      <w:r w:rsidRPr="00B62B4E">
        <w:t>HB</w:t>
      </w:r>
      <w:r w:rsidR="00B62B4E" w:rsidRPr="00B62B4E">
        <w:t xml:space="preserve"> 293</w:t>
      </w:r>
      <w:r w:rsidRPr="00B62B4E">
        <w:t>)</w:t>
      </w:r>
    </w:p>
    <w:p w14:paraId="4E9B185B" w14:textId="187DCC19" w:rsidR="00542A89" w:rsidRDefault="00542A89" w:rsidP="00542A89">
      <w:pPr>
        <w:ind w:left="100"/>
        <w:rPr>
          <w:sz w:val="24"/>
        </w:rPr>
      </w:pPr>
      <w:r w:rsidRPr="00B62B4E">
        <w:rPr>
          <w:b/>
          <w:sz w:val="24"/>
        </w:rPr>
        <w:t>Sponsors</w:t>
      </w:r>
      <w:r w:rsidRPr="00B62B4E">
        <w:rPr>
          <w:sz w:val="24"/>
        </w:rPr>
        <w:t>:</w:t>
      </w:r>
      <w:r w:rsidRPr="00B62B4E">
        <w:rPr>
          <w:spacing w:val="-2"/>
          <w:sz w:val="24"/>
        </w:rPr>
        <w:t xml:space="preserve"> </w:t>
      </w:r>
      <w:r w:rsidRPr="00B62B4E">
        <w:rPr>
          <w:sz w:val="24"/>
        </w:rPr>
        <w:t>Sen</w:t>
      </w:r>
      <w:r>
        <w:rPr>
          <w:sz w:val="24"/>
        </w:rPr>
        <w:t>.</w:t>
      </w:r>
      <w:r>
        <w:rPr>
          <w:spacing w:val="-3"/>
          <w:sz w:val="24"/>
        </w:rPr>
        <w:t xml:space="preserve"> </w:t>
      </w:r>
      <w:r>
        <w:rPr>
          <w:sz w:val="24"/>
        </w:rPr>
        <w:t>/Rep. Hinson</w:t>
      </w:r>
    </w:p>
    <w:p w14:paraId="2F023D37" w14:textId="77777777" w:rsidR="00542A89" w:rsidRDefault="00542A89" w:rsidP="00542A89">
      <w:pPr>
        <w:pStyle w:val="Heading2"/>
      </w:pPr>
      <w:r>
        <w:t>Summary:</w:t>
      </w:r>
    </w:p>
    <w:p w14:paraId="03F33EE0" w14:textId="582471E2" w:rsidR="00542A89" w:rsidRDefault="00542A89" w:rsidP="00542A89">
      <w:pPr>
        <w:pStyle w:val="BodyText"/>
        <w:ind w:right="115"/>
        <w:jc w:val="both"/>
      </w:pPr>
      <w:r>
        <w:t>This bill would create the Energy Equity Task Force who would provide recommendations to Florida Department of Agriculture and Consumer Services for fostering a fair and equitable transition of the state’s energy infrastructure to renewable technologies within minority, underserved, rural and low-income communities. The task force would consist of</w:t>
      </w:r>
      <w:r w:rsidR="00A67F17">
        <w:t xml:space="preserve"> </w:t>
      </w:r>
      <w:r>
        <w:t>a minimum</w:t>
      </w:r>
      <w:r w:rsidR="00A67F17">
        <w:t xml:space="preserve"> of</w:t>
      </w:r>
      <w:r>
        <w:t xml:space="preserve"> 11 members reflecting ethnic and gender diversity of the state</w:t>
      </w:r>
      <w:r w:rsidR="00B62B4E">
        <w:t>. The Commissioner of Agriculture will appoint</w:t>
      </w:r>
      <w:r>
        <w:t>: 1) four representatives from minority, underserved, rural or low-income communities from different regions of the state; 2) at least one environmental justice expert; 3) at least one representative from the electrical workers profession</w:t>
      </w:r>
      <w:r w:rsidR="00A67F17">
        <w:t xml:space="preserve">; 4) at least </w:t>
      </w:r>
      <w:r>
        <w:t>two energy industry liaisons</w:t>
      </w:r>
      <w:r w:rsidR="00A67F17">
        <w:t xml:space="preserve"> representing utility and solar energy interests</w:t>
      </w:r>
      <w:r>
        <w:t xml:space="preserve">; </w:t>
      </w:r>
      <w:r w:rsidR="00A67F17">
        <w:t>5</w:t>
      </w:r>
      <w:r>
        <w:t xml:space="preserve">) </w:t>
      </w:r>
      <w:r w:rsidR="00A67F17">
        <w:t xml:space="preserve">at least </w:t>
      </w:r>
      <w:r>
        <w:t xml:space="preserve">one </w:t>
      </w:r>
      <w:r w:rsidR="00A67F17">
        <w:t xml:space="preserve">representative </w:t>
      </w:r>
      <w:r>
        <w:t>from a statewide environmentally focused group</w:t>
      </w:r>
      <w:r w:rsidR="00B62B4E">
        <w:t>; 6) one</w:t>
      </w:r>
      <w:r w:rsidR="00A67F17">
        <w:t xml:space="preserve"> appointed by the President of the Senate and </w:t>
      </w:r>
      <w:r w:rsidR="00B62B4E">
        <w:t xml:space="preserve">one </w:t>
      </w:r>
      <w:r w:rsidR="00A67F17">
        <w:t>Speaker of the House</w:t>
      </w:r>
      <w:r w:rsidR="00B62B4E">
        <w:t xml:space="preserve">. </w:t>
      </w:r>
      <w:r>
        <w:t>The task force must recommend policies for the equitable siting of energy infrastructure throughout the state including siting of utility-scale and industrial solar arrays. In addition, the task</w:t>
      </w:r>
      <w:r w:rsidR="007A20E8">
        <w:t>force</w:t>
      </w:r>
      <w:r>
        <w:t xml:space="preserve"> must examine strategies to assist minority underserved, rural and low-income communities in transitioning to energy efficiency programs.  The task force would be required to present a</w:t>
      </w:r>
      <w:r w:rsidR="00B62B4E">
        <w:t xml:space="preserve"> </w:t>
      </w:r>
      <w:r>
        <w:t>report to the Governor, Commissioner of Agriculture, the President of the Senate, and the Speaker of the House by September 30, 202</w:t>
      </w:r>
      <w:r w:rsidR="00B62B4E">
        <w:t>4</w:t>
      </w:r>
      <w:r>
        <w:t xml:space="preserve">. </w:t>
      </w:r>
    </w:p>
    <w:p w14:paraId="55746242" w14:textId="77777777" w:rsidR="00086A68" w:rsidRDefault="00086A68" w:rsidP="00542A89">
      <w:pPr>
        <w:pStyle w:val="Heading2"/>
        <w:jc w:val="both"/>
      </w:pPr>
    </w:p>
    <w:p w14:paraId="75741BE1" w14:textId="77777777" w:rsidR="00086A68" w:rsidRDefault="00086A68" w:rsidP="00542A89">
      <w:pPr>
        <w:pStyle w:val="Heading2"/>
        <w:jc w:val="both"/>
      </w:pPr>
    </w:p>
    <w:p w14:paraId="25BFCD53" w14:textId="6CEA5963" w:rsidR="00542A89" w:rsidRDefault="00542A89" w:rsidP="00542A89">
      <w:pPr>
        <w:pStyle w:val="Heading2"/>
        <w:jc w:val="both"/>
      </w:pPr>
      <w:r>
        <w:lastRenderedPageBreak/>
        <w:t>Committee</w:t>
      </w:r>
      <w:r>
        <w:rPr>
          <w:spacing w:val="-4"/>
        </w:rPr>
        <w:t xml:space="preserve"> </w:t>
      </w:r>
      <w:r>
        <w:t>Assignments:</w:t>
      </w:r>
    </w:p>
    <w:p w14:paraId="49A7749B" w14:textId="77777777" w:rsidR="00086A68" w:rsidRDefault="00542A89" w:rsidP="00C47253">
      <w:pPr>
        <w:pStyle w:val="BodyText"/>
        <w:ind w:right="720"/>
        <w:jc w:val="both"/>
      </w:pPr>
      <w:r>
        <w:t>SB</w:t>
      </w:r>
      <w:r w:rsidR="00C47253">
        <w:t xml:space="preserve">: </w:t>
      </w:r>
      <w:r>
        <w:t xml:space="preserve"> </w:t>
      </w:r>
    </w:p>
    <w:p w14:paraId="63E76A6E" w14:textId="65A36D5D" w:rsidR="00542A89" w:rsidRDefault="00542A89" w:rsidP="00C47253">
      <w:pPr>
        <w:pStyle w:val="BodyText"/>
        <w:ind w:right="720"/>
        <w:jc w:val="both"/>
      </w:pPr>
      <w:r>
        <w:t xml:space="preserve">HB </w:t>
      </w:r>
      <w:r w:rsidR="00C47253">
        <w:t>293</w:t>
      </w:r>
      <w:r>
        <w:t xml:space="preserve">: </w:t>
      </w:r>
      <w:r w:rsidR="00C47253">
        <w:t>Not Referenced</w:t>
      </w:r>
    </w:p>
    <w:p w14:paraId="3FEAD88D" w14:textId="77777777" w:rsidR="00542A89" w:rsidRDefault="00542A89" w:rsidP="00542A89">
      <w:pPr>
        <w:ind w:left="100"/>
        <w:jc w:val="both"/>
        <w:rPr>
          <w:b/>
          <w:sz w:val="28"/>
        </w:rPr>
      </w:pPr>
      <w:r>
        <w:rPr>
          <w:b/>
          <w:sz w:val="28"/>
        </w:rPr>
        <w:t>ACTION</w:t>
      </w:r>
      <w:r>
        <w:rPr>
          <w:b/>
          <w:spacing w:val="-4"/>
          <w:sz w:val="28"/>
        </w:rPr>
        <w:t xml:space="preserve"> </w:t>
      </w:r>
      <w:r>
        <w:rPr>
          <w:b/>
          <w:sz w:val="28"/>
        </w:rPr>
        <w:t>RECOMMENDED:</w:t>
      </w:r>
      <w:r>
        <w:rPr>
          <w:b/>
          <w:spacing w:val="-4"/>
          <w:sz w:val="28"/>
        </w:rPr>
        <w:t xml:space="preserve"> </w:t>
      </w:r>
      <w:r>
        <w:rPr>
          <w:b/>
          <w:sz w:val="28"/>
        </w:rPr>
        <w:t>NEUTRAL</w:t>
      </w:r>
    </w:p>
    <w:p w14:paraId="3D61DFF8" w14:textId="5A57D80E" w:rsidR="00676867" w:rsidRPr="00542A89" w:rsidRDefault="00676867" w:rsidP="00542A89">
      <w:pPr>
        <w:pStyle w:val="Heading1"/>
        <w:rPr>
          <w:u w:val="none"/>
        </w:rPr>
      </w:pPr>
    </w:p>
    <w:bookmarkEnd w:id="0"/>
    <w:p w14:paraId="58A7C1AF" w14:textId="77777777" w:rsidR="00C441F7" w:rsidRPr="00AF1558" w:rsidRDefault="00C441F7" w:rsidP="00C441F7">
      <w:pPr>
        <w:jc w:val="both"/>
        <w:rPr>
          <w:rFonts w:asciiTheme="minorHAnsi" w:hAnsiTheme="minorHAnsi" w:cstheme="minorHAnsi"/>
          <w:b/>
          <w:bCs/>
          <w:sz w:val="32"/>
          <w:szCs w:val="32"/>
        </w:rPr>
      </w:pPr>
      <w:r>
        <w:rPr>
          <w:rFonts w:asciiTheme="minorHAnsi" w:hAnsiTheme="minorHAnsi" w:cstheme="minorHAnsi"/>
          <w:b/>
          <w:bCs/>
          <w:sz w:val="32"/>
          <w:szCs w:val="32"/>
          <w:u w:val="single"/>
        </w:rPr>
        <w:t>United States – produced Iron and Steel in Public Works Projects</w:t>
      </w:r>
    </w:p>
    <w:p w14:paraId="36BE3822" w14:textId="2335192D" w:rsidR="00C441F7" w:rsidRPr="00775BCF" w:rsidRDefault="00C441F7" w:rsidP="00C441F7">
      <w:pPr>
        <w:jc w:val="both"/>
        <w:rPr>
          <w:rFonts w:asciiTheme="minorHAnsi" w:hAnsiTheme="minorHAnsi" w:cstheme="minorHAnsi"/>
          <w:sz w:val="24"/>
          <w:szCs w:val="24"/>
        </w:rPr>
      </w:pPr>
      <w:r w:rsidRPr="00AF1558">
        <w:rPr>
          <w:rFonts w:asciiTheme="minorHAnsi" w:hAnsiTheme="minorHAnsi" w:cstheme="minorHAnsi"/>
          <w:sz w:val="24"/>
          <w:szCs w:val="24"/>
        </w:rPr>
        <w:t xml:space="preserve">(SB </w:t>
      </w:r>
      <w:r>
        <w:rPr>
          <w:rFonts w:asciiTheme="minorHAnsi" w:hAnsiTheme="minorHAnsi" w:cstheme="minorHAnsi"/>
          <w:sz w:val="24"/>
          <w:szCs w:val="24"/>
        </w:rPr>
        <w:t>304</w:t>
      </w:r>
      <w:r w:rsidRPr="00AF1558">
        <w:rPr>
          <w:rFonts w:asciiTheme="minorHAnsi" w:hAnsiTheme="minorHAnsi" w:cstheme="minorHAnsi"/>
          <w:sz w:val="24"/>
          <w:szCs w:val="24"/>
        </w:rPr>
        <w:t>/</w:t>
      </w:r>
      <w:r w:rsidRPr="00775BCF">
        <w:rPr>
          <w:rFonts w:asciiTheme="minorHAnsi" w:hAnsiTheme="minorHAnsi" w:cstheme="minorHAnsi"/>
          <w:sz w:val="24"/>
          <w:szCs w:val="24"/>
        </w:rPr>
        <w:t>HB)</w:t>
      </w:r>
    </w:p>
    <w:p w14:paraId="3A7C36DC" w14:textId="19319E09" w:rsidR="00C441F7" w:rsidRPr="00775BCF" w:rsidRDefault="00C441F7" w:rsidP="00C441F7">
      <w:pPr>
        <w:jc w:val="both"/>
        <w:rPr>
          <w:rFonts w:asciiTheme="minorHAnsi" w:hAnsiTheme="minorHAnsi" w:cstheme="minorHAnsi"/>
          <w:sz w:val="24"/>
          <w:szCs w:val="24"/>
        </w:rPr>
      </w:pPr>
      <w:r w:rsidRPr="00775BCF">
        <w:rPr>
          <w:rFonts w:asciiTheme="minorHAnsi" w:hAnsiTheme="minorHAnsi" w:cstheme="minorHAnsi"/>
          <w:b/>
          <w:bCs/>
          <w:sz w:val="24"/>
          <w:szCs w:val="24"/>
        </w:rPr>
        <w:t>Sponsors</w:t>
      </w:r>
      <w:r w:rsidRPr="00775BCF">
        <w:rPr>
          <w:rFonts w:asciiTheme="minorHAnsi" w:hAnsiTheme="minorHAnsi" w:cstheme="minorHAnsi"/>
          <w:sz w:val="24"/>
          <w:szCs w:val="24"/>
        </w:rPr>
        <w:t xml:space="preserve">: Sen. </w:t>
      </w:r>
      <w:r>
        <w:rPr>
          <w:rFonts w:asciiTheme="minorHAnsi" w:hAnsiTheme="minorHAnsi" w:cstheme="minorHAnsi"/>
          <w:sz w:val="24"/>
          <w:szCs w:val="24"/>
        </w:rPr>
        <w:t>Boyd</w:t>
      </w:r>
      <w:r w:rsidRPr="00775BCF">
        <w:rPr>
          <w:rFonts w:asciiTheme="minorHAnsi" w:hAnsiTheme="minorHAnsi" w:cstheme="minorHAnsi"/>
          <w:sz w:val="24"/>
          <w:szCs w:val="24"/>
        </w:rPr>
        <w:t xml:space="preserve"> / Rep. </w:t>
      </w:r>
    </w:p>
    <w:p w14:paraId="4A516CD7" w14:textId="77777777" w:rsidR="00C441F7" w:rsidRPr="00775BCF" w:rsidRDefault="00C441F7" w:rsidP="00C441F7">
      <w:pPr>
        <w:jc w:val="both"/>
        <w:rPr>
          <w:rFonts w:asciiTheme="minorHAnsi" w:hAnsiTheme="minorHAnsi" w:cstheme="minorHAnsi"/>
          <w:b/>
          <w:bCs/>
          <w:sz w:val="24"/>
          <w:szCs w:val="24"/>
        </w:rPr>
      </w:pPr>
      <w:r w:rsidRPr="00775BCF">
        <w:rPr>
          <w:rFonts w:asciiTheme="minorHAnsi" w:hAnsiTheme="minorHAnsi" w:cstheme="minorHAnsi"/>
          <w:b/>
          <w:bCs/>
          <w:sz w:val="24"/>
          <w:szCs w:val="24"/>
        </w:rPr>
        <w:t xml:space="preserve">Summary: </w:t>
      </w:r>
    </w:p>
    <w:p w14:paraId="30C9428F" w14:textId="37DC2FB7" w:rsidR="00C441F7" w:rsidRPr="00595DEE" w:rsidRDefault="00C441F7" w:rsidP="00C441F7">
      <w:pPr>
        <w:jc w:val="both"/>
        <w:rPr>
          <w:rFonts w:asciiTheme="minorHAnsi" w:hAnsiTheme="minorHAnsi" w:cstheme="minorHAnsi"/>
          <w:b/>
          <w:bCs/>
          <w:color w:val="FF0000"/>
          <w:sz w:val="24"/>
          <w:szCs w:val="24"/>
        </w:rPr>
      </w:pPr>
      <w:r>
        <w:rPr>
          <w:sz w:val="24"/>
          <w:szCs w:val="24"/>
        </w:rPr>
        <w:t>This bill provide</w:t>
      </w:r>
      <w:r w:rsidR="00FF3024">
        <w:rPr>
          <w:sz w:val="24"/>
          <w:szCs w:val="24"/>
        </w:rPr>
        <w:t>s</w:t>
      </w:r>
      <w:r>
        <w:rPr>
          <w:sz w:val="24"/>
          <w:szCs w:val="24"/>
        </w:rPr>
        <w:t xml:space="preserve"> that a governmental entity entering into a contract for a public works project or for the purchase of materials for a public works project </w:t>
      </w:r>
      <w:r w:rsidR="007A20E8">
        <w:rPr>
          <w:sz w:val="24"/>
          <w:szCs w:val="24"/>
        </w:rPr>
        <w:t>must</w:t>
      </w:r>
      <w:r>
        <w:rPr>
          <w:sz w:val="24"/>
          <w:szCs w:val="24"/>
        </w:rPr>
        <w:t xml:space="preserve"> include in such contract a requirement that any iron or steel product used in or purchased for the project must be produced in the United States. Exemptions from this requirement include: 1) sufficient quantities or satisfactory quality of the iron or steel products needed are not produced in the United States; 2) the cost to use products produced in the U.S. would increase the total cost of the project by more than 20 percent; and 3) compliance is inconsistent with public interest.  </w:t>
      </w:r>
    </w:p>
    <w:p w14:paraId="340B223F" w14:textId="77777777" w:rsidR="00C441F7" w:rsidRPr="00775BCF" w:rsidRDefault="00C441F7" w:rsidP="00C441F7">
      <w:pPr>
        <w:jc w:val="both"/>
        <w:rPr>
          <w:rFonts w:asciiTheme="minorHAnsi" w:hAnsiTheme="minorHAnsi" w:cstheme="minorHAnsi"/>
          <w:sz w:val="24"/>
          <w:szCs w:val="24"/>
        </w:rPr>
      </w:pPr>
      <w:r w:rsidRPr="00775BCF">
        <w:rPr>
          <w:rFonts w:asciiTheme="minorHAnsi" w:hAnsiTheme="minorHAnsi" w:cstheme="minorHAnsi"/>
          <w:b/>
          <w:bCs/>
          <w:sz w:val="24"/>
          <w:szCs w:val="24"/>
        </w:rPr>
        <w:t>Committee Assignments</w:t>
      </w:r>
      <w:r w:rsidRPr="00775BCF">
        <w:rPr>
          <w:rFonts w:asciiTheme="minorHAnsi" w:hAnsiTheme="minorHAnsi" w:cstheme="minorHAnsi"/>
          <w:sz w:val="24"/>
          <w:szCs w:val="24"/>
        </w:rPr>
        <w:t>:</w:t>
      </w:r>
    </w:p>
    <w:p w14:paraId="2A2D8A81" w14:textId="56A04A51" w:rsidR="00C441F7" w:rsidRPr="00775BCF" w:rsidRDefault="00C441F7" w:rsidP="00C441F7">
      <w:pPr>
        <w:jc w:val="both"/>
        <w:rPr>
          <w:rFonts w:asciiTheme="minorHAnsi" w:hAnsiTheme="minorHAnsi" w:cstheme="minorHAnsi"/>
          <w:sz w:val="24"/>
          <w:szCs w:val="24"/>
        </w:rPr>
      </w:pPr>
      <w:r w:rsidRPr="00775BCF">
        <w:rPr>
          <w:rFonts w:asciiTheme="minorHAnsi" w:hAnsiTheme="minorHAnsi" w:cstheme="minorHAnsi"/>
          <w:sz w:val="24"/>
          <w:szCs w:val="24"/>
        </w:rPr>
        <w:t xml:space="preserve">SB </w:t>
      </w:r>
      <w:r>
        <w:rPr>
          <w:rFonts w:asciiTheme="minorHAnsi" w:hAnsiTheme="minorHAnsi" w:cstheme="minorHAnsi"/>
          <w:sz w:val="24"/>
          <w:szCs w:val="24"/>
        </w:rPr>
        <w:t>304</w:t>
      </w:r>
      <w:r w:rsidRPr="00775BCF">
        <w:rPr>
          <w:rFonts w:asciiTheme="minorHAnsi" w:hAnsiTheme="minorHAnsi" w:cstheme="minorHAnsi"/>
          <w:sz w:val="24"/>
          <w:szCs w:val="24"/>
        </w:rPr>
        <w:t>:</w:t>
      </w:r>
      <w:r>
        <w:rPr>
          <w:rFonts w:asciiTheme="minorHAnsi" w:hAnsiTheme="minorHAnsi" w:cstheme="minorHAnsi"/>
          <w:sz w:val="24"/>
          <w:szCs w:val="24"/>
        </w:rPr>
        <w:t xml:space="preserve"> </w:t>
      </w:r>
      <w:r w:rsidR="00086A68">
        <w:rPr>
          <w:rFonts w:asciiTheme="minorHAnsi" w:hAnsiTheme="minorHAnsi" w:cstheme="minorHAnsi"/>
          <w:sz w:val="24"/>
          <w:szCs w:val="24"/>
        </w:rPr>
        <w:t>Government Oversight &amp; Accountability; Appropriations Committee on Agriculture, Environment &amp; General Government; Fiscal Policy</w:t>
      </w:r>
    </w:p>
    <w:p w14:paraId="30273282" w14:textId="5A510390" w:rsidR="00C441F7" w:rsidRPr="002169D0" w:rsidRDefault="00C441F7" w:rsidP="00C441F7">
      <w:pPr>
        <w:jc w:val="both"/>
        <w:rPr>
          <w:rFonts w:asciiTheme="minorHAnsi" w:hAnsiTheme="minorHAnsi" w:cstheme="minorHAnsi"/>
          <w:sz w:val="24"/>
          <w:szCs w:val="24"/>
        </w:rPr>
      </w:pPr>
      <w:r w:rsidRPr="00775BCF">
        <w:rPr>
          <w:rFonts w:asciiTheme="minorHAnsi" w:hAnsiTheme="minorHAnsi" w:cstheme="minorHAnsi"/>
          <w:sz w:val="24"/>
          <w:szCs w:val="24"/>
        </w:rPr>
        <w:t>HB</w:t>
      </w:r>
      <w:r>
        <w:rPr>
          <w:rFonts w:asciiTheme="minorHAnsi" w:hAnsiTheme="minorHAnsi" w:cstheme="minorHAnsi"/>
          <w:sz w:val="24"/>
          <w:szCs w:val="24"/>
        </w:rPr>
        <w:t>:</w:t>
      </w:r>
    </w:p>
    <w:p w14:paraId="6AC96F2E" w14:textId="77777777" w:rsidR="00C441F7" w:rsidRDefault="00C441F7" w:rsidP="00C441F7">
      <w:pPr>
        <w:pStyle w:val="Heading1"/>
        <w:ind w:left="0"/>
        <w:rPr>
          <w:rFonts w:asciiTheme="minorHAnsi" w:hAnsiTheme="minorHAnsi" w:cstheme="minorHAnsi"/>
          <w:sz w:val="28"/>
          <w:szCs w:val="28"/>
          <w:u w:val="none"/>
        </w:rPr>
      </w:pPr>
      <w:r w:rsidRPr="00E31259">
        <w:rPr>
          <w:rFonts w:asciiTheme="minorHAnsi" w:hAnsiTheme="minorHAnsi" w:cstheme="minorHAnsi"/>
          <w:sz w:val="28"/>
          <w:szCs w:val="28"/>
          <w:u w:val="none"/>
        </w:rPr>
        <w:t>ACTION RECOMMENDED: NEUTRAL</w:t>
      </w:r>
    </w:p>
    <w:p w14:paraId="1706D328" w14:textId="77777777" w:rsidR="00676867" w:rsidRDefault="00676867">
      <w:pPr>
        <w:pStyle w:val="BodyText"/>
        <w:spacing w:before="1"/>
        <w:ind w:left="0"/>
        <w:rPr>
          <w:b/>
          <w:sz w:val="28"/>
        </w:rPr>
      </w:pPr>
    </w:p>
    <w:p w14:paraId="7BDF631E" w14:textId="030A85EA" w:rsidR="00676867" w:rsidRDefault="00284FCD">
      <w:pPr>
        <w:pStyle w:val="Heading1"/>
        <w:rPr>
          <w:u w:val="none"/>
        </w:rPr>
      </w:pPr>
      <w:r>
        <w:t>Requiring</w:t>
      </w:r>
      <w:r>
        <w:rPr>
          <w:spacing w:val="36"/>
        </w:rPr>
        <w:t xml:space="preserve"> </w:t>
      </w:r>
      <w:r>
        <w:t>Broader</w:t>
      </w:r>
      <w:r>
        <w:rPr>
          <w:spacing w:val="36"/>
        </w:rPr>
        <w:t xml:space="preserve"> </w:t>
      </w:r>
      <w:r>
        <w:t>Public</w:t>
      </w:r>
      <w:r>
        <w:rPr>
          <w:spacing w:val="37"/>
        </w:rPr>
        <w:t xml:space="preserve"> </w:t>
      </w:r>
      <w:r>
        <w:t>Support</w:t>
      </w:r>
      <w:r>
        <w:rPr>
          <w:spacing w:val="36"/>
        </w:rPr>
        <w:t xml:space="preserve"> </w:t>
      </w:r>
      <w:r>
        <w:t>for</w:t>
      </w:r>
      <w:r>
        <w:rPr>
          <w:spacing w:val="36"/>
        </w:rPr>
        <w:t xml:space="preserve"> </w:t>
      </w:r>
      <w:r>
        <w:t>Constitutional</w:t>
      </w:r>
      <w:r>
        <w:rPr>
          <w:spacing w:val="40"/>
        </w:rPr>
        <w:t xml:space="preserve"> </w:t>
      </w:r>
      <w:r>
        <w:t>Amendments</w:t>
      </w:r>
      <w:r>
        <w:rPr>
          <w:spacing w:val="38"/>
        </w:rPr>
        <w:t xml:space="preserve"> </w:t>
      </w:r>
      <w:r>
        <w:t>or</w:t>
      </w:r>
      <w:r w:rsidR="00E563FA">
        <w:rPr>
          <w:spacing w:val="-69"/>
          <w:u w:val="none"/>
        </w:rPr>
        <w:t xml:space="preserve"> </w:t>
      </w:r>
      <w:r>
        <w:t>Revisions</w:t>
      </w:r>
    </w:p>
    <w:p w14:paraId="43EA81F1" w14:textId="4F131A2E" w:rsidR="00676867" w:rsidRDefault="00284FCD">
      <w:pPr>
        <w:pStyle w:val="Heading3"/>
      </w:pPr>
      <w:r>
        <w:t>(SJR</w:t>
      </w:r>
      <w:r>
        <w:rPr>
          <w:spacing w:val="54"/>
        </w:rPr>
        <w:t xml:space="preserve"> </w:t>
      </w:r>
      <w:r>
        <w:t>/ HJR 1</w:t>
      </w:r>
      <w:r w:rsidR="00E563FA">
        <w:t>29</w:t>
      </w:r>
      <w:r>
        <w:t>)</w:t>
      </w:r>
    </w:p>
    <w:p w14:paraId="1687C0C3" w14:textId="77777777" w:rsidR="00676867" w:rsidRDefault="00284FCD">
      <w:pPr>
        <w:ind w:left="100"/>
        <w:rPr>
          <w:sz w:val="24"/>
        </w:rPr>
      </w:pPr>
      <w:r>
        <w:rPr>
          <w:b/>
          <w:sz w:val="24"/>
        </w:rPr>
        <w:t>Sponsors</w:t>
      </w:r>
      <w:r>
        <w:rPr>
          <w:sz w:val="24"/>
        </w:rPr>
        <w:t>:</w:t>
      </w:r>
      <w:r>
        <w:rPr>
          <w:spacing w:val="-1"/>
          <w:sz w:val="24"/>
        </w:rPr>
        <w:t xml:space="preserve"> </w:t>
      </w:r>
      <w:r>
        <w:rPr>
          <w:sz w:val="24"/>
        </w:rPr>
        <w:t>Sen.</w:t>
      </w:r>
      <w:r>
        <w:rPr>
          <w:spacing w:val="-3"/>
          <w:sz w:val="24"/>
        </w:rPr>
        <w:t xml:space="preserve"> </w:t>
      </w:r>
      <w:r>
        <w:rPr>
          <w:sz w:val="24"/>
        </w:rPr>
        <w:t>/Rep.</w:t>
      </w:r>
      <w:r>
        <w:rPr>
          <w:spacing w:val="-1"/>
          <w:sz w:val="24"/>
        </w:rPr>
        <w:t xml:space="preserve"> </w:t>
      </w:r>
      <w:r>
        <w:rPr>
          <w:sz w:val="24"/>
        </w:rPr>
        <w:t>Roth</w:t>
      </w:r>
    </w:p>
    <w:p w14:paraId="70FAB3E1" w14:textId="77777777" w:rsidR="00676867" w:rsidRDefault="00284FCD">
      <w:pPr>
        <w:pStyle w:val="Heading2"/>
      </w:pPr>
      <w:r>
        <w:t>Summary:</w:t>
      </w:r>
    </w:p>
    <w:p w14:paraId="5CD3C409" w14:textId="37D96578" w:rsidR="00676867" w:rsidRDefault="00284FCD">
      <w:pPr>
        <w:pStyle w:val="BodyText"/>
      </w:pPr>
      <w:r>
        <w:t>This</w:t>
      </w:r>
      <w:r>
        <w:rPr>
          <w:spacing w:val="8"/>
        </w:rPr>
        <w:t xml:space="preserve"> </w:t>
      </w:r>
      <w:r>
        <w:t>joint</w:t>
      </w:r>
      <w:r>
        <w:rPr>
          <w:spacing w:val="10"/>
        </w:rPr>
        <w:t xml:space="preserve"> </w:t>
      </w:r>
      <w:r>
        <w:t>resolution</w:t>
      </w:r>
      <w:r>
        <w:rPr>
          <w:spacing w:val="10"/>
        </w:rPr>
        <w:t xml:space="preserve"> </w:t>
      </w:r>
      <w:r>
        <w:t>would</w:t>
      </w:r>
      <w:r>
        <w:rPr>
          <w:spacing w:val="11"/>
        </w:rPr>
        <w:t xml:space="preserve"> </w:t>
      </w:r>
      <w:r>
        <w:t>propose</w:t>
      </w:r>
      <w:r>
        <w:rPr>
          <w:spacing w:val="10"/>
        </w:rPr>
        <w:t xml:space="preserve"> </w:t>
      </w:r>
      <w:r>
        <w:t>a</w:t>
      </w:r>
      <w:r>
        <w:rPr>
          <w:spacing w:val="9"/>
        </w:rPr>
        <w:t xml:space="preserve"> </w:t>
      </w:r>
      <w:r>
        <w:t>constitutional</w:t>
      </w:r>
      <w:r>
        <w:rPr>
          <w:spacing w:val="9"/>
        </w:rPr>
        <w:t xml:space="preserve"> </w:t>
      </w:r>
      <w:r>
        <w:t>amendment</w:t>
      </w:r>
      <w:r>
        <w:rPr>
          <w:spacing w:val="8"/>
        </w:rPr>
        <w:t xml:space="preserve"> </w:t>
      </w:r>
      <w:r>
        <w:t>to</w:t>
      </w:r>
      <w:r>
        <w:rPr>
          <w:spacing w:val="10"/>
        </w:rPr>
        <w:t xml:space="preserve"> </w:t>
      </w:r>
      <w:r>
        <w:t>increas</w:t>
      </w:r>
      <w:r w:rsidR="003E2C12">
        <w:t>e</w:t>
      </w:r>
      <w:r>
        <w:rPr>
          <w:spacing w:val="9"/>
        </w:rPr>
        <w:t xml:space="preserve"> </w:t>
      </w:r>
      <w:r>
        <w:t>the</w:t>
      </w:r>
      <w:r>
        <w:rPr>
          <w:spacing w:val="7"/>
        </w:rPr>
        <w:t xml:space="preserve"> </w:t>
      </w:r>
      <w:r>
        <w:t>percentage</w:t>
      </w:r>
      <w:r>
        <w:rPr>
          <w:spacing w:val="10"/>
        </w:rPr>
        <w:t xml:space="preserve"> </w:t>
      </w:r>
      <w:r>
        <w:t>of</w:t>
      </w:r>
      <w:r>
        <w:rPr>
          <w:spacing w:val="-52"/>
        </w:rPr>
        <w:t xml:space="preserve"> </w:t>
      </w:r>
      <w:r w:rsidR="00E563FA">
        <w:rPr>
          <w:spacing w:val="-52"/>
        </w:rPr>
        <w:t xml:space="preserve">   </w:t>
      </w:r>
      <w:r w:rsidR="003E2C12">
        <w:t xml:space="preserve"> elector</w:t>
      </w:r>
      <w:r>
        <w:rPr>
          <w:spacing w:val="10"/>
        </w:rPr>
        <w:t xml:space="preserve"> </w:t>
      </w:r>
      <w:r>
        <w:t>votes</w:t>
      </w:r>
      <w:r>
        <w:rPr>
          <w:spacing w:val="8"/>
        </w:rPr>
        <w:t xml:space="preserve"> </w:t>
      </w:r>
      <w:r>
        <w:t>required</w:t>
      </w:r>
      <w:r>
        <w:rPr>
          <w:spacing w:val="10"/>
        </w:rPr>
        <w:t xml:space="preserve"> </w:t>
      </w:r>
      <w:r>
        <w:t>to</w:t>
      </w:r>
      <w:r>
        <w:rPr>
          <w:spacing w:val="11"/>
        </w:rPr>
        <w:t xml:space="preserve"> </w:t>
      </w:r>
      <w:r>
        <w:t>approve</w:t>
      </w:r>
      <w:r>
        <w:rPr>
          <w:spacing w:val="9"/>
        </w:rPr>
        <w:t xml:space="preserve"> </w:t>
      </w:r>
      <w:r>
        <w:t>an</w:t>
      </w:r>
      <w:r>
        <w:rPr>
          <w:spacing w:val="11"/>
        </w:rPr>
        <w:t xml:space="preserve"> </w:t>
      </w:r>
      <w:r>
        <w:t>amendment</w:t>
      </w:r>
      <w:r>
        <w:rPr>
          <w:spacing w:val="8"/>
        </w:rPr>
        <w:t xml:space="preserve"> </w:t>
      </w:r>
      <w:r>
        <w:t>to</w:t>
      </w:r>
      <w:r>
        <w:rPr>
          <w:spacing w:val="8"/>
        </w:rPr>
        <w:t xml:space="preserve"> </w:t>
      </w:r>
      <w:r>
        <w:t>the</w:t>
      </w:r>
      <w:r>
        <w:rPr>
          <w:spacing w:val="7"/>
        </w:rPr>
        <w:t xml:space="preserve"> </w:t>
      </w:r>
      <w:r>
        <w:t>State</w:t>
      </w:r>
      <w:r>
        <w:rPr>
          <w:spacing w:val="11"/>
        </w:rPr>
        <w:t xml:space="preserve"> </w:t>
      </w:r>
      <w:r>
        <w:t>Constitution</w:t>
      </w:r>
      <w:r>
        <w:rPr>
          <w:spacing w:val="9"/>
        </w:rPr>
        <w:t xml:space="preserve"> </w:t>
      </w:r>
      <w:r>
        <w:t>from</w:t>
      </w:r>
      <w:r>
        <w:rPr>
          <w:spacing w:val="8"/>
        </w:rPr>
        <w:t xml:space="preserve"> </w:t>
      </w:r>
      <w:r>
        <w:t>60</w:t>
      </w:r>
      <w:r>
        <w:rPr>
          <w:spacing w:val="9"/>
        </w:rPr>
        <w:t xml:space="preserve"> </w:t>
      </w:r>
      <w:r>
        <w:t>percent</w:t>
      </w:r>
      <w:r>
        <w:rPr>
          <w:spacing w:val="8"/>
        </w:rPr>
        <w:t xml:space="preserve"> </w:t>
      </w:r>
      <w:r>
        <w:t>to</w:t>
      </w:r>
    </w:p>
    <w:p w14:paraId="3C024F93" w14:textId="77777777" w:rsidR="003E2C12" w:rsidRDefault="00284FCD">
      <w:pPr>
        <w:pStyle w:val="BodyText"/>
        <w:rPr>
          <w:spacing w:val="1"/>
        </w:rPr>
      </w:pPr>
      <w:r>
        <w:t>66.67</w:t>
      </w:r>
      <w:r>
        <w:rPr>
          <w:spacing w:val="20"/>
        </w:rPr>
        <w:t xml:space="preserve"> </w:t>
      </w:r>
      <w:r>
        <w:t>percent.</w:t>
      </w:r>
      <w:r>
        <w:rPr>
          <w:spacing w:val="43"/>
        </w:rPr>
        <w:t xml:space="preserve"> </w:t>
      </w:r>
      <w:r>
        <w:t>The</w:t>
      </w:r>
      <w:r>
        <w:rPr>
          <w:spacing w:val="20"/>
        </w:rPr>
        <w:t xml:space="preserve"> </w:t>
      </w:r>
      <w:r>
        <w:t>repeal</w:t>
      </w:r>
      <w:r>
        <w:rPr>
          <w:spacing w:val="22"/>
        </w:rPr>
        <w:t xml:space="preserve"> </w:t>
      </w:r>
      <w:r>
        <w:t>of</w:t>
      </w:r>
      <w:r>
        <w:rPr>
          <w:spacing w:val="21"/>
        </w:rPr>
        <w:t xml:space="preserve"> </w:t>
      </w:r>
      <w:r>
        <w:t>an</w:t>
      </w:r>
      <w:r>
        <w:rPr>
          <w:spacing w:val="21"/>
        </w:rPr>
        <w:t xml:space="preserve"> </w:t>
      </w:r>
      <w:r>
        <w:t>amendment</w:t>
      </w:r>
      <w:r>
        <w:rPr>
          <w:spacing w:val="20"/>
        </w:rPr>
        <w:t xml:space="preserve"> </w:t>
      </w:r>
      <w:r>
        <w:t>or</w:t>
      </w:r>
      <w:r>
        <w:rPr>
          <w:spacing w:val="21"/>
        </w:rPr>
        <w:t xml:space="preserve"> </w:t>
      </w:r>
      <w:r>
        <w:t>revision</w:t>
      </w:r>
      <w:r>
        <w:rPr>
          <w:spacing w:val="21"/>
        </w:rPr>
        <w:t xml:space="preserve"> </w:t>
      </w:r>
      <w:r>
        <w:t>need</w:t>
      </w:r>
      <w:r>
        <w:rPr>
          <w:spacing w:val="22"/>
        </w:rPr>
        <w:t xml:space="preserve"> </w:t>
      </w:r>
      <w:r>
        <w:t>only</w:t>
      </w:r>
      <w:r>
        <w:rPr>
          <w:spacing w:val="19"/>
        </w:rPr>
        <w:t xml:space="preserve"> </w:t>
      </w:r>
      <w:r>
        <w:t>be</w:t>
      </w:r>
      <w:r>
        <w:rPr>
          <w:spacing w:val="19"/>
        </w:rPr>
        <w:t xml:space="preserve"> </w:t>
      </w:r>
      <w:r>
        <w:t>approved</w:t>
      </w:r>
      <w:r>
        <w:rPr>
          <w:spacing w:val="21"/>
        </w:rPr>
        <w:t xml:space="preserve"> </w:t>
      </w:r>
      <w:r>
        <w:t>by</w:t>
      </w:r>
      <w:r>
        <w:rPr>
          <w:spacing w:val="19"/>
        </w:rPr>
        <w:t xml:space="preserve"> </w:t>
      </w:r>
      <w:r>
        <w:t>the</w:t>
      </w:r>
      <w:r>
        <w:rPr>
          <w:spacing w:val="20"/>
        </w:rPr>
        <w:t xml:space="preserve"> </w:t>
      </w:r>
      <w:r>
        <w:t>same</w:t>
      </w:r>
      <w:r>
        <w:rPr>
          <w:spacing w:val="-52"/>
        </w:rPr>
        <w:t xml:space="preserve"> </w:t>
      </w:r>
      <w:r>
        <w:t>percentage of elector votes as required at the time of passage of amendment or revision.</w:t>
      </w:r>
      <w:r>
        <w:rPr>
          <w:spacing w:val="1"/>
        </w:rPr>
        <w:t xml:space="preserve"> </w:t>
      </w:r>
    </w:p>
    <w:p w14:paraId="43146C81" w14:textId="2A167E91" w:rsidR="00676867" w:rsidRDefault="00284FCD">
      <w:pPr>
        <w:pStyle w:val="BodyText"/>
        <w:rPr>
          <w:b/>
        </w:rPr>
      </w:pPr>
      <w:r>
        <w:rPr>
          <w:b/>
        </w:rPr>
        <w:t>Committee</w:t>
      </w:r>
      <w:r>
        <w:rPr>
          <w:b/>
          <w:spacing w:val="-2"/>
        </w:rPr>
        <w:t xml:space="preserve"> </w:t>
      </w:r>
      <w:r>
        <w:rPr>
          <w:b/>
        </w:rPr>
        <w:t>Assignments:</w:t>
      </w:r>
    </w:p>
    <w:p w14:paraId="01936589" w14:textId="77777777" w:rsidR="00676867" w:rsidRDefault="00284FCD">
      <w:pPr>
        <w:pStyle w:val="Heading3"/>
        <w:spacing w:line="292" w:lineRule="exact"/>
      </w:pPr>
      <w:r>
        <w:t>SJR:</w:t>
      </w:r>
    </w:p>
    <w:p w14:paraId="0EAAF5FD" w14:textId="6A6BC962" w:rsidR="00676867" w:rsidRDefault="00284FCD">
      <w:pPr>
        <w:pStyle w:val="BodyText"/>
      </w:pPr>
      <w:r>
        <w:t>HJR</w:t>
      </w:r>
      <w:r>
        <w:rPr>
          <w:spacing w:val="-2"/>
        </w:rPr>
        <w:t xml:space="preserve"> </w:t>
      </w:r>
      <w:r>
        <w:t>1</w:t>
      </w:r>
      <w:r w:rsidR="00E563FA">
        <w:t>29</w:t>
      </w:r>
      <w:r>
        <w:t>:</w:t>
      </w:r>
      <w:r>
        <w:rPr>
          <w:spacing w:val="-3"/>
        </w:rPr>
        <w:t xml:space="preserve"> </w:t>
      </w:r>
      <w:r w:rsidR="003E2C12">
        <w:t>Ethics</w:t>
      </w:r>
      <w:r w:rsidR="003E2C12">
        <w:rPr>
          <w:spacing w:val="-4"/>
        </w:rPr>
        <w:t xml:space="preserve">, </w:t>
      </w:r>
      <w:r>
        <w:t>Elections</w:t>
      </w:r>
      <w:r w:rsidR="003E2C12">
        <w:t xml:space="preserve"> &amp; Open Government</w:t>
      </w:r>
      <w:r>
        <w:t>; Judiciary</w:t>
      </w:r>
      <w:r w:rsidR="003E2C12">
        <w:t>; State Affairs</w:t>
      </w:r>
    </w:p>
    <w:p w14:paraId="4FABADBF" w14:textId="77777777" w:rsidR="00676867" w:rsidRDefault="00284FCD">
      <w:pPr>
        <w:ind w:left="100"/>
        <w:rPr>
          <w:b/>
          <w:sz w:val="28"/>
        </w:rPr>
      </w:pPr>
      <w:r>
        <w:rPr>
          <w:b/>
          <w:sz w:val="28"/>
        </w:rPr>
        <w:t>ACTION</w:t>
      </w:r>
      <w:r>
        <w:rPr>
          <w:b/>
          <w:spacing w:val="-4"/>
          <w:sz w:val="28"/>
        </w:rPr>
        <w:t xml:space="preserve"> </w:t>
      </w:r>
      <w:r>
        <w:rPr>
          <w:b/>
          <w:sz w:val="28"/>
        </w:rPr>
        <w:t>RECOMMENDED:</w:t>
      </w:r>
      <w:r>
        <w:rPr>
          <w:b/>
          <w:spacing w:val="-3"/>
          <w:sz w:val="28"/>
        </w:rPr>
        <w:t xml:space="preserve"> </w:t>
      </w:r>
      <w:r>
        <w:rPr>
          <w:b/>
          <w:sz w:val="28"/>
        </w:rPr>
        <w:t>NEUTRAL</w:t>
      </w:r>
    </w:p>
    <w:p w14:paraId="08355EA1" w14:textId="77777777" w:rsidR="00676867" w:rsidRDefault="00676867">
      <w:pPr>
        <w:pStyle w:val="BodyText"/>
        <w:spacing w:before="1"/>
        <w:ind w:left="0"/>
        <w:rPr>
          <w:b/>
          <w:sz w:val="28"/>
        </w:rPr>
      </w:pPr>
    </w:p>
    <w:p w14:paraId="1B40A30D" w14:textId="67D85B73" w:rsidR="00676867" w:rsidRDefault="00676867">
      <w:pPr>
        <w:ind w:left="100"/>
        <w:rPr>
          <w:b/>
          <w:sz w:val="28"/>
        </w:rPr>
      </w:pPr>
    </w:p>
    <w:sectPr w:rsidR="00676867" w:rsidSect="0041317D">
      <w:pgSz w:w="12240" w:h="15840"/>
      <w:pgMar w:top="1008" w:right="1008" w:bottom="1008"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7CB"/>
    <w:multiLevelType w:val="hybridMultilevel"/>
    <w:tmpl w:val="2F04FBC4"/>
    <w:lvl w:ilvl="0" w:tplc="2E66721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D6B4B22"/>
    <w:multiLevelType w:val="hybridMultilevel"/>
    <w:tmpl w:val="7856E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91C17"/>
    <w:multiLevelType w:val="hybridMultilevel"/>
    <w:tmpl w:val="C8367A7C"/>
    <w:lvl w:ilvl="0" w:tplc="5852DEDC">
      <w:start w:val="1"/>
      <w:numFmt w:val="decimal"/>
      <w:lvlText w:val="%1."/>
      <w:lvlJc w:val="left"/>
      <w:pPr>
        <w:ind w:left="820" w:hanging="360"/>
        <w:jc w:val="left"/>
      </w:pPr>
      <w:rPr>
        <w:rFonts w:ascii="Calibri" w:eastAsia="Calibri" w:hAnsi="Calibri" w:cs="Calibri" w:hint="default"/>
        <w:b w:val="0"/>
        <w:bCs w:val="0"/>
        <w:i w:val="0"/>
        <w:iCs w:val="0"/>
        <w:w w:val="100"/>
        <w:sz w:val="24"/>
        <w:szCs w:val="24"/>
        <w:lang w:val="en-US" w:eastAsia="en-US" w:bidi="ar-SA"/>
      </w:rPr>
    </w:lvl>
    <w:lvl w:ilvl="1" w:tplc="3C32CEFC">
      <w:numFmt w:val="bullet"/>
      <w:lvlText w:val="•"/>
      <w:lvlJc w:val="left"/>
      <w:pPr>
        <w:ind w:left="1696" w:hanging="360"/>
      </w:pPr>
      <w:rPr>
        <w:rFonts w:hint="default"/>
        <w:lang w:val="en-US" w:eastAsia="en-US" w:bidi="ar-SA"/>
      </w:rPr>
    </w:lvl>
    <w:lvl w:ilvl="2" w:tplc="164842EC">
      <w:numFmt w:val="bullet"/>
      <w:lvlText w:val="•"/>
      <w:lvlJc w:val="left"/>
      <w:pPr>
        <w:ind w:left="2572" w:hanging="360"/>
      </w:pPr>
      <w:rPr>
        <w:rFonts w:hint="default"/>
        <w:lang w:val="en-US" w:eastAsia="en-US" w:bidi="ar-SA"/>
      </w:rPr>
    </w:lvl>
    <w:lvl w:ilvl="3" w:tplc="D8360C0E">
      <w:numFmt w:val="bullet"/>
      <w:lvlText w:val="•"/>
      <w:lvlJc w:val="left"/>
      <w:pPr>
        <w:ind w:left="3448" w:hanging="360"/>
      </w:pPr>
      <w:rPr>
        <w:rFonts w:hint="default"/>
        <w:lang w:val="en-US" w:eastAsia="en-US" w:bidi="ar-SA"/>
      </w:rPr>
    </w:lvl>
    <w:lvl w:ilvl="4" w:tplc="F28A3780">
      <w:numFmt w:val="bullet"/>
      <w:lvlText w:val="•"/>
      <w:lvlJc w:val="left"/>
      <w:pPr>
        <w:ind w:left="4324" w:hanging="360"/>
      </w:pPr>
      <w:rPr>
        <w:rFonts w:hint="default"/>
        <w:lang w:val="en-US" w:eastAsia="en-US" w:bidi="ar-SA"/>
      </w:rPr>
    </w:lvl>
    <w:lvl w:ilvl="5" w:tplc="9792389A">
      <w:numFmt w:val="bullet"/>
      <w:lvlText w:val="•"/>
      <w:lvlJc w:val="left"/>
      <w:pPr>
        <w:ind w:left="5200" w:hanging="360"/>
      </w:pPr>
      <w:rPr>
        <w:rFonts w:hint="default"/>
        <w:lang w:val="en-US" w:eastAsia="en-US" w:bidi="ar-SA"/>
      </w:rPr>
    </w:lvl>
    <w:lvl w:ilvl="6" w:tplc="C832B2CA">
      <w:numFmt w:val="bullet"/>
      <w:lvlText w:val="•"/>
      <w:lvlJc w:val="left"/>
      <w:pPr>
        <w:ind w:left="6076" w:hanging="360"/>
      </w:pPr>
      <w:rPr>
        <w:rFonts w:hint="default"/>
        <w:lang w:val="en-US" w:eastAsia="en-US" w:bidi="ar-SA"/>
      </w:rPr>
    </w:lvl>
    <w:lvl w:ilvl="7" w:tplc="69181F74">
      <w:numFmt w:val="bullet"/>
      <w:lvlText w:val="•"/>
      <w:lvlJc w:val="left"/>
      <w:pPr>
        <w:ind w:left="6952" w:hanging="360"/>
      </w:pPr>
      <w:rPr>
        <w:rFonts w:hint="default"/>
        <w:lang w:val="en-US" w:eastAsia="en-US" w:bidi="ar-SA"/>
      </w:rPr>
    </w:lvl>
    <w:lvl w:ilvl="8" w:tplc="1DD03BB6">
      <w:numFmt w:val="bullet"/>
      <w:lvlText w:val="•"/>
      <w:lvlJc w:val="left"/>
      <w:pPr>
        <w:ind w:left="7828" w:hanging="360"/>
      </w:pPr>
      <w:rPr>
        <w:rFonts w:hint="default"/>
        <w:lang w:val="en-US" w:eastAsia="en-US" w:bidi="ar-SA"/>
      </w:rPr>
    </w:lvl>
  </w:abstractNum>
  <w:num w:numId="1" w16cid:durableId="2020620893">
    <w:abstractNumId w:val="2"/>
  </w:num>
  <w:num w:numId="2" w16cid:durableId="931352985">
    <w:abstractNumId w:val="0"/>
  </w:num>
  <w:num w:numId="3" w16cid:durableId="2255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wNjAyMjQzMbM0NDFR0lEKTi0uzszPAykwrAUABSyi7iwAAAA="/>
  </w:docVars>
  <w:rsids>
    <w:rsidRoot w:val="00676867"/>
    <w:rsid w:val="0000388F"/>
    <w:rsid w:val="00017F52"/>
    <w:rsid w:val="000414C4"/>
    <w:rsid w:val="000420A0"/>
    <w:rsid w:val="00086A68"/>
    <w:rsid w:val="000B62EF"/>
    <w:rsid w:val="000D681F"/>
    <w:rsid w:val="000F175E"/>
    <w:rsid w:val="0010526F"/>
    <w:rsid w:val="0014644E"/>
    <w:rsid w:val="001575F8"/>
    <w:rsid w:val="001700AB"/>
    <w:rsid w:val="001714CB"/>
    <w:rsid w:val="00195B96"/>
    <w:rsid w:val="001A3B22"/>
    <w:rsid w:val="002658AB"/>
    <w:rsid w:val="00284FCD"/>
    <w:rsid w:val="002B4B24"/>
    <w:rsid w:val="002E3743"/>
    <w:rsid w:val="00365A4B"/>
    <w:rsid w:val="00375AA1"/>
    <w:rsid w:val="003A465D"/>
    <w:rsid w:val="003B4359"/>
    <w:rsid w:val="003C13C9"/>
    <w:rsid w:val="003E0A21"/>
    <w:rsid w:val="003E2C12"/>
    <w:rsid w:val="003E4DE2"/>
    <w:rsid w:val="0041317D"/>
    <w:rsid w:val="00427EE6"/>
    <w:rsid w:val="0044249F"/>
    <w:rsid w:val="0049380E"/>
    <w:rsid w:val="004E0649"/>
    <w:rsid w:val="004E541F"/>
    <w:rsid w:val="00542A89"/>
    <w:rsid w:val="00563843"/>
    <w:rsid w:val="005A7110"/>
    <w:rsid w:val="005E329B"/>
    <w:rsid w:val="00602861"/>
    <w:rsid w:val="00610D06"/>
    <w:rsid w:val="00673A35"/>
    <w:rsid w:val="00676867"/>
    <w:rsid w:val="006A1C1A"/>
    <w:rsid w:val="006D0C6F"/>
    <w:rsid w:val="006D2171"/>
    <w:rsid w:val="006D60A1"/>
    <w:rsid w:val="007443D9"/>
    <w:rsid w:val="00745714"/>
    <w:rsid w:val="0075682E"/>
    <w:rsid w:val="00771903"/>
    <w:rsid w:val="0079034E"/>
    <w:rsid w:val="007A20E8"/>
    <w:rsid w:val="007A3890"/>
    <w:rsid w:val="007A7A72"/>
    <w:rsid w:val="007E7608"/>
    <w:rsid w:val="0082228B"/>
    <w:rsid w:val="00847D72"/>
    <w:rsid w:val="008918E9"/>
    <w:rsid w:val="008A7AE5"/>
    <w:rsid w:val="008D27EA"/>
    <w:rsid w:val="008E3DA7"/>
    <w:rsid w:val="00927B04"/>
    <w:rsid w:val="009632ED"/>
    <w:rsid w:val="00975E3C"/>
    <w:rsid w:val="00986A26"/>
    <w:rsid w:val="009C0D89"/>
    <w:rsid w:val="009C6230"/>
    <w:rsid w:val="009E371D"/>
    <w:rsid w:val="00A0601C"/>
    <w:rsid w:val="00A14EC2"/>
    <w:rsid w:val="00A560AC"/>
    <w:rsid w:val="00A67F17"/>
    <w:rsid w:val="00A91D18"/>
    <w:rsid w:val="00A92C0C"/>
    <w:rsid w:val="00AC6DF2"/>
    <w:rsid w:val="00AE3B3D"/>
    <w:rsid w:val="00B15A9E"/>
    <w:rsid w:val="00B30CA4"/>
    <w:rsid w:val="00B55509"/>
    <w:rsid w:val="00B62B4E"/>
    <w:rsid w:val="00B63C22"/>
    <w:rsid w:val="00B6687D"/>
    <w:rsid w:val="00B701A4"/>
    <w:rsid w:val="00B822D2"/>
    <w:rsid w:val="00BB0FEB"/>
    <w:rsid w:val="00BB1852"/>
    <w:rsid w:val="00BD0580"/>
    <w:rsid w:val="00BD29CB"/>
    <w:rsid w:val="00BD7DA7"/>
    <w:rsid w:val="00BE2657"/>
    <w:rsid w:val="00C37460"/>
    <w:rsid w:val="00C441F7"/>
    <w:rsid w:val="00C47253"/>
    <w:rsid w:val="00C57BDB"/>
    <w:rsid w:val="00C934F2"/>
    <w:rsid w:val="00CA4C5A"/>
    <w:rsid w:val="00CA6E39"/>
    <w:rsid w:val="00CC7D31"/>
    <w:rsid w:val="00D36622"/>
    <w:rsid w:val="00D41C00"/>
    <w:rsid w:val="00D54BAA"/>
    <w:rsid w:val="00D67437"/>
    <w:rsid w:val="00D94EDE"/>
    <w:rsid w:val="00D95235"/>
    <w:rsid w:val="00DA403B"/>
    <w:rsid w:val="00DB6F02"/>
    <w:rsid w:val="00DE48EB"/>
    <w:rsid w:val="00DE6146"/>
    <w:rsid w:val="00E31259"/>
    <w:rsid w:val="00E563FA"/>
    <w:rsid w:val="00E86B93"/>
    <w:rsid w:val="00EB544B"/>
    <w:rsid w:val="00F07E35"/>
    <w:rsid w:val="00F87D08"/>
    <w:rsid w:val="00F9360A"/>
    <w:rsid w:val="00FA0900"/>
    <w:rsid w:val="00FA39DF"/>
    <w:rsid w:val="00FB6F5E"/>
    <w:rsid w:val="00FD23B3"/>
    <w:rsid w:val="00FF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3244"/>
  <w15:docId w15:val="{1282A9EE-E1F3-4CFF-919D-F06022F5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00"/>
      <w:outlineLvl w:val="0"/>
    </w:pPr>
    <w:rPr>
      <w:b/>
      <w:bCs/>
      <w:sz w:val="32"/>
      <w:szCs w:val="32"/>
      <w:u w:val="single" w:color="000000"/>
    </w:rPr>
  </w:style>
  <w:style w:type="paragraph" w:styleId="Heading2">
    <w:name w:val="heading 2"/>
    <w:basedOn w:val="Normal"/>
    <w:link w:val="Heading2Char"/>
    <w:uiPriority w:val="9"/>
    <w:unhideWhenUsed/>
    <w:qFormat/>
    <w:pPr>
      <w:ind w:left="100"/>
      <w:outlineLvl w:val="1"/>
    </w:pPr>
    <w:rPr>
      <w:b/>
      <w:bCs/>
      <w:sz w:val="24"/>
      <w:szCs w:val="24"/>
    </w:rPr>
  </w:style>
  <w:style w:type="paragraph" w:styleId="Heading3">
    <w:name w:val="heading 3"/>
    <w:basedOn w:val="Normal"/>
    <w:link w:val="Heading3Char"/>
    <w:uiPriority w:val="9"/>
    <w:unhideWhenUsed/>
    <w:qFormat/>
    <w:pPr>
      <w:ind w:left="1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4"/>
      <w:szCs w:val="24"/>
    </w:rPr>
  </w:style>
  <w:style w:type="paragraph" w:styleId="ListParagraph">
    <w:name w:val="List Paragraph"/>
    <w:basedOn w:val="Normal"/>
    <w:uiPriority w:val="1"/>
    <w:qFormat/>
    <w:pPr>
      <w:spacing w:before="24"/>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4E0649"/>
    <w:pPr>
      <w:widowControl/>
      <w:autoSpaceDE/>
      <w:autoSpaceDN/>
    </w:pPr>
    <w:rPr>
      <w:rFonts w:ascii="Calibri" w:eastAsia="Calibri" w:hAnsi="Calibri" w:cs="Calibri"/>
    </w:rPr>
  </w:style>
  <w:style w:type="character" w:styleId="Hyperlink">
    <w:name w:val="Hyperlink"/>
    <w:basedOn w:val="DefaultParagraphFont"/>
    <w:uiPriority w:val="99"/>
    <w:unhideWhenUsed/>
    <w:rsid w:val="00375AA1"/>
    <w:rPr>
      <w:color w:val="0000FF" w:themeColor="hyperlink"/>
      <w:u w:val="single"/>
    </w:rPr>
  </w:style>
  <w:style w:type="character" w:styleId="UnresolvedMention">
    <w:name w:val="Unresolved Mention"/>
    <w:basedOn w:val="DefaultParagraphFont"/>
    <w:uiPriority w:val="99"/>
    <w:semiHidden/>
    <w:unhideWhenUsed/>
    <w:rsid w:val="00375AA1"/>
    <w:rPr>
      <w:color w:val="605E5C"/>
      <w:shd w:val="clear" w:color="auto" w:fill="E1DFDD"/>
    </w:rPr>
  </w:style>
  <w:style w:type="character" w:customStyle="1" w:styleId="Heading1Char">
    <w:name w:val="Heading 1 Char"/>
    <w:basedOn w:val="DefaultParagraphFont"/>
    <w:link w:val="Heading1"/>
    <w:uiPriority w:val="9"/>
    <w:rsid w:val="00195B96"/>
    <w:rPr>
      <w:rFonts w:ascii="Calibri" w:eastAsia="Calibri" w:hAnsi="Calibri" w:cs="Calibri"/>
      <w:b/>
      <w:bCs/>
      <w:sz w:val="32"/>
      <w:szCs w:val="32"/>
      <w:u w:val="single" w:color="000000"/>
    </w:rPr>
  </w:style>
  <w:style w:type="character" w:customStyle="1" w:styleId="Heading2Char">
    <w:name w:val="Heading 2 Char"/>
    <w:basedOn w:val="DefaultParagraphFont"/>
    <w:link w:val="Heading2"/>
    <w:uiPriority w:val="9"/>
    <w:rsid w:val="00195B96"/>
    <w:rPr>
      <w:rFonts w:ascii="Calibri" w:eastAsia="Calibri" w:hAnsi="Calibri" w:cs="Calibri"/>
      <w:b/>
      <w:bCs/>
      <w:sz w:val="24"/>
      <w:szCs w:val="24"/>
    </w:rPr>
  </w:style>
  <w:style w:type="character" w:customStyle="1" w:styleId="Heading3Char">
    <w:name w:val="Heading 3 Char"/>
    <w:basedOn w:val="DefaultParagraphFont"/>
    <w:link w:val="Heading3"/>
    <w:uiPriority w:val="9"/>
    <w:rsid w:val="00195B96"/>
    <w:rPr>
      <w:rFonts w:ascii="Calibri" w:eastAsia="Calibri" w:hAnsi="Calibri" w:cs="Calibri"/>
      <w:sz w:val="24"/>
      <w:szCs w:val="24"/>
    </w:rPr>
  </w:style>
  <w:style w:type="character" w:customStyle="1" w:styleId="BodyTextChar">
    <w:name w:val="Body Text Char"/>
    <w:basedOn w:val="DefaultParagraphFont"/>
    <w:link w:val="BodyText"/>
    <w:uiPriority w:val="1"/>
    <w:rsid w:val="00195B96"/>
    <w:rPr>
      <w:rFonts w:ascii="Calibri" w:eastAsia="Calibri" w:hAnsi="Calibri" w:cs="Calibri"/>
      <w:sz w:val="24"/>
      <w:szCs w:val="24"/>
    </w:rPr>
  </w:style>
  <w:style w:type="paragraph" w:styleId="NormalWeb">
    <w:name w:val="Normal (Web)"/>
    <w:basedOn w:val="Normal"/>
    <w:uiPriority w:val="99"/>
    <w:semiHidden/>
    <w:unhideWhenUsed/>
    <w:rsid w:val="007A389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4605">
      <w:bodyDiv w:val="1"/>
      <w:marLeft w:val="0"/>
      <w:marRight w:val="0"/>
      <w:marTop w:val="0"/>
      <w:marBottom w:val="0"/>
      <w:divBdr>
        <w:top w:val="none" w:sz="0" w:space="0" w:color="auto"/>
        <w:left w:val="none" w:sz="0" w:space="0" w:color="auto"/>
        <w:bottom w:val="none" w:sz="0" w:space="0" w:color="auto"/>
        <w:right w:val="none" w:sz="0" w:space="0" w:color="auto"/>
      </w:divBdr>
      <w:divsChild>
        <w:div w:id="1845512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248381">
              <w:marLeft w:val="0"/>
              <w:marRight w:val="0"/>
              <w:marTop w:val="0"/>
              <w:marBottom w:val="0"/>
              <w:divBdr>
                <w:top w:val="none" w:sz="0" w:space="0" w:color="auto"/>
                <w:left w:val="none" w:sz="0" w:space="0" w:color="auto"/>
                <w:bottom w:val="none" w:sz="0" w:space="0" w:color="auto"/>
                <w:right w:val="none" w:sz="0" w:space="0" w:color="auto"/>
              </w:divBdr>
              <w:divsChild>
                <w:div w:id="3574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5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D1DC5-981A-4BA6-B6D0-95FA1DEA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Carter</dc:creator>
  <cp:lastModifiedBy>Andrew Love</cp:lastModifiedBy>
  <cp:revision>10</cp:revision>
  <cp:lastPrinted>2021-12-03T19:10:00Z</cp:lastPrinted>
  <dcterms:created xsi:type="dcterms:W3CDTF">2023-01-20T21:26:00Z</dcterms:created>
  <dcterms:modified xsi:type="dcterms:W3CDTF">2023-01-27T20:05:00Z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2021-11-04T00:00:00Z</vt:filetime>
  </property>
</Properties>
</file>