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74AC4" w14:textId="5493D1BB" w:rsidR="002B0E62" w:rsidRPr="002B0E62" w:rsidRDefault="002B0E62" w:rsidP="002B0E62">
      <w:pPr>
        <w:spacing w:after="100" w:line="240" w:lineRule="auto"/>
        <w:outlineLvl w:val="0"/>
        <w:rPr>
          <w:rFonts w:ascii="Roboto Slab" w:eastAsia="Times New Roman" w:hAnsi="Roboto Slab" w:cs="Arial"/>
          <w:b/>
          <w:bCs/>
          <w:sz w:val="24"/>
          <w:szCs w:val="24"/>
        </w:rPr>
      </w:pPr>
      <w:proofErr w:type="spellStart"/>
      <w:r w:rsidRPr="002B0E62">
        <w:rPr>
          <w:rFonts w:ascii="Roboto Slab" w:eastAsia="Times New Roman" w:hAnsi="Roboto Slab" w:cs="Times New Roman"/>
          <w:b/>
          <w:bCs/>
          <w:kern w:val="36"/>
          <w:sz w:val="75"/>
          <w:szCs w:val="75"/>
        </w:rPr>
        <w:t>Zubaly</w:t>
      </w:r>
      <w:proofErr w:type="spellEnd"/>
      <w:r w:rsidRPr="002B0E62">
        <w:rPr>
          <w:rFonts w:ascii="Roboto Slab" w:eastAsia="Times New Roman" w:hAnsi="Roboto Slab" w:cs="Times New Roman"/>
          <w:b/>
          <w:bCs/>
          <w:kern w:val="36"/>
          <w:sz w:val="75"/>
          <w:szCs w:val="75"/>
        </w:rPr>
        <w:t xml:space="preserve">: Broadband bills will not increase access to </w:t>
      </w:r>
      <w:r>
        <w:rPr>
          <w:rFonts w:ascii="Roboto Slab" w:eastAsia="Times New Roman" w:hAnsi="Roboto Slab" w:cs="Times New Roman"/>
          <w:b/>
          <w:bCs/>
          <w:kern w:val="36"/>
          <w:sz w:val="75"/>
          <w:szCs w:val="75"/>
        </w:rPr>
        <w:t>underserved areas</w:t>
      </w:r>
    </w:p>
    <w:p w14:paraId="4D721E52" w14:textId="6A70CFE8" w:rsidR="002B0E62" w:rsidRPr="002B0E62" w:rsidRDefault="002B0E62" w:rsidP="002B0E62">
      <w:pPr>
        <w:shd w:val="clear" w:color="auto" w:fill="FFFFFF"/>
        <w:spacing w:after="0" w:line="240" w:lineRule="auto"/>
        <w:outlineLvl w:val="3"/>
        <w:rPr>
          <w:rFonts w:ascii="Roboto Slab" w:eastAsia="Times New Roman" w:hAnsi="Roboto Slab" w:cs="Arial"/>
          <w:b/>
          <w:bCs/>
          <w:color w:val="181818"/>
          <w:sz w:val="24"/>
          <w:szCs w:val="24"/>
        </w:rPr>
      </w:pPr>
    </w:p>
    <w:p w14:paraId="2E0218B1" w14:textId="77777777" w:rsidR="002B0E62" w:rsidRPr="002B0E62" w:rsidRDefault="002B0E62" w:rsidP="002B0E62">
      <w:pPr>
        <w:shd w:val="clear" w:color="auto" w:fill="FFFFFF"/>
        <w:spacing w:after="0" w:line="240" w:lineRule="auto"/>
        <w:rPr>
          <w:rFonts w:ascii="Arial" w:eastAsia="Times New Roman" w:hAnsi="Arial" w:cs="Arial"/>
          <w:color w:val="181818"/>
          <w:sz w:val="24"/>
          <w:szCs w:val="24"/>
        </w:rPr>
      </w:pPr>
      <w:r w:rsidRPr="002B0E62">
        <w:rPr>
          <w:rFonts w:ascii="Arial" w:eastAsia="Times New Roman" w:hAnsi="Arial" w:cs="Arial"/>
          <w:color w:val="181818"/>
          <w:sz w:val="24"/>
          <w:szCs w:val="24"/>
        </w:rPr>
        <w:pict w14:anchorId="348FBCB5">
          <v:rect id="_x0000_i1026" style="width:0;height:1.5pt" o:hralign="center" o:hrstd="t" o:hr="t" fillcolor="#a0a0a0" stroked="f"/>
        </w:pict>
      </w:r>
    </w:p>
    <w:p w14:paraId="2179FD2B" w14:textId="77777777" w:rsidR="002B0E62" w:rsidRPr="002B0E62" w:rsidRDefault="002B0E62" w:rsidP="002B0E62">
      <w:pPr>
        <w:shd w:val="clear" w:color="auto" w:fill="FFFFFF"/>
        <w:spacing w:line="372" w:lineRule="atLeast"/>
        <w:rPr>
          <w:rFonts w:ascii="Roboto Slab" w:eastAsia="Times New Roman" w:hAnsi="Roboto Slab" w:cs="Arial"/>
          <w:b/>
          <w:bCs/>
          <w:color w:val="181818"/>
          <w:sz w:val="27"/>
          <w:szCs w:val="27"/>
        </w:rPr>
      </w:pPr>
      <w:r w:rsidRPr="002B0E62">
        <w:rPr>
          <w:rFonts w:ascii="Roboto Slab" w:eastAsia="Times New Roman" w:hAnsi="Roboto Slab" w:cs="Arial"/>
          <w:b/>
          <w:bCs/>
          <w:color w:val="181818"/>
          <w:sz w:val="27"/>
          <w:szCs w:val="27"/>
        </w:rPr>
        <w:t>Areas lack connectivity because there aren’t enough potential customers for private companies to make a profit.</w:t>
      </w:r>
    </w:p>
    <w:p w14:paraId="5FF21D4E" w14:textId="338AAF38" w:rsidR="002B0E62" w:rsidRPr="002B0E62" w:rsidRDefault="002B0E62" w:rsidP="002B0E62">
      <w:pPr>
        <w:shd w:val="clear" w:color="auto" w:fill="FFFFFF"/>
        <w:spacing w:after="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One year ago, all of America began to confront the new reality of a pandemic, including the migration of business and education to the internet. Schools, universities and businesses quickly began to adjust and, just as quickly, deep divisions in internet and broadband access were exposed.</w:t>
      </w:r>
    </w:p>
    <w:p w14:paraId="665B2C80"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In particular, the disparities in broadband access in urban and suburban areas, as compared to rural parts of the state, were laid bare.</w:t>
      </w:r>
    </w:p>
    <w:p w14:paraId="52C70B4E"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And they were dramatic.</w:t>
      </w:r>
    </w:p>
    <w:p w14:paraId="3909A340"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Broadband is almost exclusively provided by private, for-profit cable and telephone companies. Those companies have chosen to provide their services in areas where they can make the most money. Their failure to venture out to Florida’s sparsely populated rural areas is a decision based on profitability.</w:t>
      </w:r>
    </w:p>
    <w:p w14:paraId="41C8A804"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Similarly, in the early part of the 20th century, electricity – just like broadband now – was becoming a necessity for modern life.</w:t>
      </w:r>
    </w:p>
    <w:p w14:paraId="0E5C180C"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The electric utility monopolies of the time engaged in anticompetitive behavior and made decisions on which areas to serve based on profit, which led to the creation of municipal electric utilities and rural electric cooperatives.</w:t>
      </w:r>
    </w:p>
    <w:p w14:paraId="7E132BD8" w14:textId="7705BB76" w:rsidR="002B0E62" w:rsidRDefault="002B0E62" w:rsidP="002B0E62">
      <w:pPr>
        <w:shd w:val="clear" w:color="auto" w:fill="FFFFFF"/>
        <w:spacing w:after="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Now, the 33 Florida municipal utilities that stepped in to fill the breach 100 years ago to provide electricity to cities ranging in size from Moore Haven to Jacksonville are the targets of eerily comparable anticompetitive behavior in the form of </w:t>
      </w:r>
      <w:hyperlink r:id="rId5" w:tgtFrame="_blank" w:history="1">
        <w:r w:rsidRPr="002B0E62">
          <w:rPr>
            <w:rFonts w:ascii="Arial" w:eastAsia="Times New Roman" w:hAnsi="Arial" w:cs="Arial"/>
            <w:b/>
            <w:bCs/>
            <w:color w:val="181818"/>
            <w:sz w:val="26"/>
            <w:szCs w:val="26"/>
            <w:u w:val="single"/>
          </w:rPr>
          <w:t>HB 1239</w:t>
        </w:r>
      </w:hyperlink>
      <w:r w:rsidRPr="002B0E62">
        <w:rPr>
          <w:rFonts w:ascii="Arial" w:eastAsia="Times New Roman" w:hAnsi="Arial" w:cs="Arial"/>
          <w:color w:val="181818"/>
          <w:sz w:val="26"/>
          <w:szCs w:val="26"/>
        </w:rPr>
        <w:t> and </w:t>
      </w:r>
      <w:hyperlink r:id="rId6" w:tgtFrame="_blank" w:history="1">
        <w:r w:rsidRPr="002B0E62">
          <w:rPr>
            <w:rFonts w:ascii="Arial" w:eastAsia="Times New Roman" w:hAnsi="Arial" w:cs="Arial"/>
            <w:b/>
            <w:bCs/>
            <w:color w:val="181818"/>
            <w:sz w:val="26"/>
            <w:szCs w:val="26"/>
            <w:u w:val="single"/>
          </w:rPr>
          <w:t>SB 1592</w:t>
        </w:r>
      </w:hyperlink>
      <w:r w:rsidRPr="002B0E62">
        <w:rPr>
          <w:rFonts w:ascii="Arial" w:eastAsia="Times New Roman" w:hAnsi="Arial" w:cs="Arial"/>
          <w:color w:val="181818"/>
          <w:sz w:val="26"/>
          <w:szCs w:val="26"/>
        </w:rPr>
        <w:t>.</w:t>
      </w:r>
    </w:p>
    <w:p w14:paraId="31F588B7" w14:textId="77777777" w:rsidR="002B0E62" w:rsidRPr="002B0E62" w:rsidRDefault="002B0E62" w:rsidP="002B0E62">
      <w:pPr>
        <w:shd w:val="clear" w:color="auto" w:fill="FFFFFF"/>
        <w:spacing w:after="0" w:line="240" w:lineRule="auto"/>
        <w:jc w:val="both"/>
        <w:rPr>
          <w:rFonts w:ascii="Arial" w:eastAsia="Times New Roman" w:hAnsi="Arial" w:cs="Arial"/>
          <w:color w:val="181818"/>
          <w:sz w:val="26"/>
          <w:szCs w:val="26"/>
        </w:rPr>
      </w:pPr>
    </w:p>
    <w:p w14:paraId="4085F31B"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This legislation would require municipal electric utility customers to subsidize out-of-state, for-profit companies with no promises to deliver broadband to rural, underserved areas.</w:t>
      </w:r>
    </w:p>
    <w:p w14:paraId="6DCC338A"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 xml:space="preserve">Broadband and telecommunications companies use electric utility infrastructure to attach their devices as a means of delivering services. SB 1592/HB 1239 claims </w:t>
      </w:r>
      <w:r w:rsidRPr="002B0E62">
        <w:rPr>
          <w:rFonts w:ascii="Arial" w:eastAsia="Times New Roman" w:hAnsi="Arial" w:cs="Arial"/>
          <w:color w:val="181818"/>
          <w:sz w:val="26"/>
          <w:szCs w:val="26"/>
        </w:rPr>
        <w:lastRenderedPageBreak/>
        <w:t>that lower pole attachment fees statewide are necessary to attract private investment and bring broadband access to underserved communities.</w:t>
      </w:r>
    </w:p>
    <w:p w14:paraId="4DE22214"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Pole attachments come in various sizes, shapes and weights, have varying requirements to ensure safety and reliability, and bring varying costs to the utility depending on the type of device. This legislation would require municipal electric utilities to provide private companies with unfettered access to their poles at a capped rate no matter the actual costs, therefore subsidizing these giant, for-profit companies.</w:t>
      </w:r>
    </w:p>
    <w:p w14:paraId="7742374C"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At the same time, this legislation would allow these same companies to enjoy a huge financial windfall thanks to a new tax break.</w:t>
      </w:r>
    </w:p>
    <w:p w14:paraId="42505D3D"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Equally disconcerting for Florida residents are minimum safety standards found in the bill that will prevent municipal electric utilities from implementing hurricane and wind event safety precautions.</w:t>
      </w:r>
    </w:p>
    <w:p w14:paraId="2015C61A"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Florida’s municipal electric utilities fully support the overarching goal to provide high-speed broadband and internet access to all our customers. A large majority of these municipalities are urban communities where residents can choose from multiple high-speed broadband providers.</w:t>
      </w:r>
    </w:p>
    <w:p w14:paraId="7E5D9E38"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However, there are also several small municipal electric utilities proudly serving more rural communities, including Havana, Blountstown, Fort Meade and Wauchula. Residents in these communities do not enjoy the same connectivity.</w:t>
      </w:r>
    </w:p>
    <w:p w14:paraId="688BD52F"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Oddly, the bills do not require the same subsidies from customers of Florida’s 16 rural electric cooperatives, who are far more underserved with broadband than are customers of municipal electric utilities.</w:t>
      </w:r>
    </w:p>
    <w:p w14:paraId="577E5C3E"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Underserved communities are not lacking broadband because attachment rates are high. These areas lack connectivity because there aren’t enough potential customers for these private companies to make a profit.</w:t>
      </w:r>
    </w:p>
    <w:p w14:paraId="25A58D24"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Florida’s broadband urban versus rural gap is real and concerning.</w:t>
      </w:r>
    </w:p>
    <w:p w14:paraId="5B247704"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Unfortunately, beyond a money grab by major private-sector companies, these bills do nothing to help the Floridians who most need greater access to broadband.</w:t>
      </w:r>
    </w:p>
    <w:p w14:paraId="20F6C599" w14:textId="77777777" w:rsidR="002B0E62" w:rsidRPr="002B0E62" w:rsidRDefault="002B0E62" w:rsidP="002B0E62">
      <w:pPr>
        <w:shd w:val="clear" w:color="auto" w:fill="FFFFFF"/>
        <w:spacing w:after="150" w:line="240" w:lineRule="auto"/>
        <w:jc w:val="both"/>
        <w:rPr>
          <w:rFonts w:ascii="Arial" w:eastAsia="Times New Roman" w:hAnsi="Arial" w:cs="Arial"/>
          <w:color w:val="181818"/>
          <w:sz w:val="26"/>
          <w:szCs w:val="26"/>
        </w:rPr>
      </w:pPr>
      <w:r w:rsidRPr="002B0E62">
        <w:rPr>
          <w:rFonts w:ascii="Arial" w:eastAsia="Times New Roman" w:hAnsi="Arial" w:cs="Arial"/>
          <w:color w:val="181818"/>
          <w:sz w:val="26"/>
          <w:szCs w:val="26"/>
        </w:rPr>
        <w:t>___</w:t>
      </w:r>
    </w:p>
    <w:p w14:paraId="36073CB3" w14:textId="77777777" w:rsidR="002B0E62" w:rsidRPr="002B0E62" w:rsidRDefault="002B0E62" w:rsidP="002B0E62">
      <w:pPr>
        <w:shd w:val="clear" w:color="auto" w:fill="FFFFFF"/>
        <w:spacing w:line="240" w:lineRule="auto"/>
        <w:jc w:val="both"/>
        <w:rPr>
          <w:rFonts w:ascii="Arial" w:eastAsia="Times New Roman" w:hAnsi="Arial" w:cs="Arial"/>
          <w:color w:val="181818"/>
          <w:sz w:val="26"/>
          <w:szCs w:val="26"/>
        </w:rPr>
      </w:pPr>
      <w:r w:rsidRPr="002B0E62">
        <w:rPr>
          <w:rFonts w:ascii="Arial" w:eastAsia="Times New Roman" w:hAnsi="Arial" w:cs="Arial"/>
          <w:b/>
          <w:bCs/>
          <w:color w:val="181818"/>
          <w:sz w:val="26"/>
          <w:szCs w:val="26"/>
        </w:rPr>
        <w:t xml:space="preserve">Amy </w:t>
      </w:r>
      <w:proofErr w:type="spellStart"/>
      <w:r w:rsidRPr="002B0E62">
        <w:rPr>
          <w:rFonts w:ascii="Arial" w:eastAsia="Times New Roman" w:hAnsi="Arial" w:cs="Arial"/>
          <w:b/>
          <w:bCs/>
          <w:color w:val="181818"/>
          <w:sz w:val="26"/>
          <w:szCs w:val="26"/>
        </w:rPr>
        <w:t>Zubaly</w:t>
      </w:r>
      <w:proofErr w:type="spellEnd"/>
      <w:r w:rsidRPr="002B0E62">
        <w:rPr>
          <w:rFonts w:ascii="Arial" w:eastAsia="Times New Roman" w:hAnsi="Arial" w:cs="Arial"/>
          <w:color w:val="181818"/>
          <w:sz w:val="26"/>
          <w:szCs w:val="26"/>
        </w:rPr>
        <w:t> is the executive director of the Florida Municipal Electric Association.</w:t>
      </w:r>
    </w:p>
    <w:p w14:paraId="02B961D1" w14:textId="77777777" w:rsidR="008F339B" w:rsidRDefault="008F339B"/>
    <w:sectPr w:rsidR="008F3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964EA"/>
    <w:multiLevelType w:val="multilevel"/>
    <w:tmpl w:val="4468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62"/>
    <w:rsid w:val="002B0E62"/>
    <w:rsid w:val="008F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4CBC"/>
  <w15:chartTrackingRefBased/>
  <w15:docId w15:val="{071634A7-6498-4E81-8692-2F6AA68B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184150">
      <w:bodyDiv w:val="1"/>
      <w:marLeft w:val="0"/>
      <w:marRight w:val="0"/>
      <w:marTop w:val="0"/>
      <w:marBottom w:val="0"/>
      <w:divBdr>
        <w:top w:val="none" w:sz="0" w:space="0" w:color="auto"/>
        <w:left w:val="none" w:sz="0" w:space="0" w:color="auto"/>
        <w:bottom w:val="none" w:sz="0" w:space="0" w:color="auto"/>
        <w:right w:val="none" w:sz="0" w:space="0" w:color="auto"/>
      </w:divBdr>
      <w:divsChild>
        <w:div w:id="957219547">
          <w:marLeft w:val="0"/>
          <w:marRight w:val="0"/>
          <w:marTop w:val="100"/>
          <w:marBottom w:val="100"/>
          <w:divBdr>
            <w:top w:val="none" w:sz="0" w:space="0" w:color="auto"/>
            <w:left w:val="none" w:sz="0" w:space="0" w:color="auto"/>
            <w:bottom w:val="none" w:sz="0" w:space="0" w:color="auto"/>
            <w:right w:val="none" w:sz="0" w:space="0" w:color="auto"/>
          </w:divBdr>
          <w:divsChild>
            <w:div w:id="1121537244">
              <w:marLeft w:val="0"/>
              <w:marRight w:val="0"/>
              <w:marTop w:val="0"/>
              <w:marBottom w:val="0"/>
              <w:divBdr>
                <w:top w:val="none" w:sz="0" w:space="0" w:color="auto"/>
                <w:left w:val="none" w:sz="0" w:space="0" w:color="auto"/>
                <w:bottom w:val="none" w:sz="0" w:space="0" w:color="auto"/>
                <w:right w:val="none" w:sz="0" w:space="0" w:color="auto"/>
              </w:divBdr>
            </w:div>
          </w:divsChild>
        </w:div>
        <w:div w:id="1091121117">
          <w:marLeft w:val="0"/>
          <w:marRight w:val="0"/>
          <w:marTop w:val="100"/>
          <w:marBottom w:val="100"/>
          <w:divBdr>
            <w:top w:val="none" w:sz="0" w:space="0" w:color="auto"/>
            <w:left w:val="none" w:sz="0" w:space="0" w:color="auto"/>
            <w:bottom w:val="none" w:sz="0" w:space="0" w:color="auto"/>
            <w:right w:val="none" w:sz="0" w:space="0" w:color="auto"/>
          </w:divBdr>
          <w:divsChild>
            <w:div w:id="249509083">
              <w:marLeft w:val="0"/>
              <w:marRight w:val="0"/>
              <w:marTop w:val="0"/>
              <w:marBottom w:val="0"/>
              <w:divBdr>
                <w:top w:val="none" w:sz="0" w:space="0" w:color="auto"/>
                <w:left w:val="none" w:sz="0" w:space="0" w:color="auto"/>
                <w:bottom w:val="none" w:sz="0" w:space="0" w:color="auto"/>
                <w:right w:val="none" w:sz="0" w:space="0" w:color="auto"/>
              </w:divBdr>
              <w:divsChild>
                <w:div w:id="864172243">
                  <w:marLeft w:val="0"/>
                  <w:marRight w:val="0"/>
                  <w:marTop w:val="0"/>
                  <w:marBottom w:val="450"/>
                  <w:divBdr>
                    <w:top w:val="single" w:sz="12" w:space="0" w:color="auto"/>
                    <w:left w:val="single" w:sz="12" w:space="0" w:color="auto"/>
                    <w:bottom w:val="single" w:sz="12" w:space="0" w:color="auto"/>
                    <w:right w:val="single" w:sz="12" w:space="0" w:color="auto"/>
                  </w:divBdr>
                  <w:divsChild>
                    <w:div w:id="2105295835">
                      <w:marLeft w:val="0"/>
                      <w:marRight w:val="0"/>
                      <w:marTop w:val="0"/>
                      <w:marBottom w:val="0"/>
                      <w:divBdr>
                        <w:top w:val="none" w:sz="0" w:space="0" w:color="auto"/>
                        <w:left w:val="none" w:sz="0" w:space="0" w:color="auto"/>
                        <w:bottom w:val="none" w:sz="0" w:space="0" w:color="auto"/>
                        <w:right w:val="none" w:sz="0" w:space="0" w:color="auto"/>
                      </w:divBdr>
                      <w:divsChild>
                        <w:div w:id="2041590033">
                          <w:marLeft w:val="-225"/>
                          <w:marRight w:val="-225"/>
                          <w:marTop w:val="0"/>
                          <w:marBottom w:val="0"/>
                          <w:divBdr>
                            <w:top w:val="none" w:sz="0" w:space="0" w:color="auto"/>
                            <w:left w:val="none" w:sz="0" w:space="0" w:color="auto"/>
                            <w:bottom w:val="none" w:sz="0" w:space="0" w:color="auto"/>
                            <w:right w:val="none" w:sz="0" w:space="0" w:color="auto"/>
                          </w:divBdr>
                          <w:divsChild>
                            <w:div w:id="1663658812">
                              <w:marLeft w:val="0"/>
                              <w:marRight w:val="0"/>
                              <w:marTop w:val="0"/>
                              <w:marBottom w:val="0"/>
                              <w:divBdr>
                                <w:top w:val="none" w:sz="0" w:space="0" w:color="auto"/>
                                <w:left w:val="none" w:sz="0" w:space="0" w:color="auto"/>
                                <w:bottom w:val="none" w:sz="0" w:space="0" w:color="auto"/>
                                <w:right w:val="none" w:sz="0" w:space="0" w:color="auto"/>
                              </w:divBdr>
                              <w:divsChild>
                                <w:div w:id="1238902893">
                                  <w:marLeft w:val="0"/>
                                  <w:marRight w:val="0"/>
                                  <w:marTop w:val="0"/>
                                  <w:marBottom w:val="600"/>
                                  <w:divBdr>
                                    <w:top w:val="none" w:sz="0" w:space="0" w:color="auto"/>
                                    <w:left w:val="none" w:sz="0" w:space="0" w:color="auto"/>
                                    <w:bottom w:val="none" w:sz="0" w:space="0" w:color="auto"/>
                                    <w:right w:val="none" w:sz="0" w:space="0" w:color="auto"/>
                                  </w:divBdr>
                                  <w:divsChild>
                                    <w:div w:id="27922774">
                                      <w:marLeft w:val="0"/>
                                      <w:marRight w:val="0"/>
                                      <w:marTop w:val="0"/>
                                      <w:marBottom w:val="156"/>
                                      <w:divBdr>
                                        <w:top w:val="none" w:sz="0" w:space="0" w:color="auto"/>
                                        <w:left w:val="none" w:sz="0" w:space="0" w:color="auto"/>
                                        <w:bottom w:val="none" w:sz="0" w:space="0" w:color="auto"/>
                                        <w:right w:val="none" w:sz="0" w:space="0" w:color="auto"/>
                                      </w:divBdr>
                                    </w:div>
                                    <w:div w:id="497965715">
                                      <w:marLeft w:val="0"/>
                                      <w:marRight w:val="0"/>
                                      <w:marTop w:val="0"/>
                                      <w:marBottom w:val="240"/>
                                      <w:divBdr>
                                        <w:top w:val="single" w:sz="6" w:space="12" w:color="auto"/>
                                        <w:left w:val="single" w:sz="2" w:space="0" w:color="auto"/>
                                        <w:bottom w:val="single" w:sz="6" w:space="2" w:color="auto"/>
                                        <w:right w:val="single" w:sz="2" w:space="0" w:color="auto"/>
                                      </w:divBdr>
                                    </w:div>
                                  </w:divsChild>
                                </w:div>
                                <w:div w:id="777602882">
                                  <w:marLeft w:val="0"/>
                                  <w:marRight w:val="0"/>
                                  <w:marTop w:val="72"/>
                                  <w:marBottom w:val="0"/>
                                  <w:divBdr>
                                    <w:top w:val="none" w:sz="0" w:space="0" w:color="auto"/>
                                    <w:left w:val="none" w:sz="0" w:space="0" w:color="auto"/>
                                    <w:bottom w:val="none" w:sz="0" w:space="0" w:color="auto"/>
                                    <w:right w:val="none" w:sz="0" w:space="0" w:color="auto"/>
                                  </w:divBdr>
                                  <w:divsChild>
                                    <w:div w:id="1718578969">
                                      <w:marLeft w:val="-225"/>
                                      <w:marRight w:val="-225"/>
                                      <w:marTop w:val="0"/>
                                      <w:marBottom w:val="0"/>
                                      <w:divBdr>
                                        <w:top w:val="none" w:sz="0" w:space="0" w:color="auto"/>
                                        <w:left w:val="none" w:sz="0" w:space="0" w:color="auto"/>
                                        <w:bottom w:val="none" w:sz="0" w:space="0" w:color="auto"/>
                                        <w:right w:val="none" w:sz="0" w:space="0" w:color="auto"/>
                                      </w:divBdr>
                                      <w:divsChild>
                                        <w:div w:id="822312678">
                                          <w:marLeft w:val="0"/>
                                          <w:marRight w:val="0"/>
                                          <w:marTop w:val="0"/>
                                          <w:marBottom w:val="0"/>
                                          <w:divBdr>
                                            <w:top w:val="none" w:sz="0" w:space="0" w:color="auto"/>
                                            <w:left w:val="none" w:sz="0" w:space="0" w:color="auto"/>
                                            <w:bottom w:val="none" w:sz="0" w:space="0" w:color="auto"/>
                                            <w:right w:val="none" w:sz="0" w:space="0" w:color="auto"/>
                                          </w:divBdr>
                                          <w:divsChild>
                                            <w:div w:id="668486776">
                                              <w:marLeft w:val="0"/>
                                              <w:marRight w:val="0"/>
                                              <w:marTop w:val="0"/>
                                              <w:marBottom w:val="225"/>
                                              <w:divBdr>
                                                <w:top w:val="single" w:sz="6" w:space="11" w:color="auto"/>
                                                <w:left w:val="single" w:sz="6" w:space="11" w:color="auto"/>
                                                <w:bottom w:val="single" w:sz="6" w:space="11" w:color="auto"/>
                                                <w:right w:val="single" w:sz="6" w:space="11" w:color="auto"/>
                                              </w:divBdr>
                                              <w:divsChild>
                                                <w:div w:id="987245850">
                                                  <w:marLeft w:val="0"/>
                                                  <w:marRight w:val="0"/>
                                                  <w:marTop w:val="0"/>
                                                  <w:marBottom w:val="0"/>
                                                  <w:divBdr>
                                                    <w:top w:val="none" w:sz="0" w:space="0" w:color="auto"/>
                                                    <w:left w:val="none" w:sz="0" w:space="0" w:color="auto"/>
                                                    <w:bottom w:val="none" w:sz="0" w:space="0" w:color="auto"/>
                                                    <w:right w:val="none" w:sz="0" w:space="0" w:color="auto"/>
                                                  </w:divBdr>
                                                  <w:divsChild>
                                                    <w:div w:id="2124303477">
                                                      <w:marLeft w:val="0"/>
                                                      <w:marRight w:val="0"/>
                                                      <w:marTop w:val="0"/>
                                                      <w:marBottom w:val="0"/>
                                                      <w:divBdr>
                                                        <w:top w:val="none" w:sz="0" w:space="0" w:color="auto"/>
                                                        <w:left w:val="none" w:sz="0" w:space="0" w:color="auto"/>
                                                        <w:bottom w:val="none" w:sz="0" w:space="0" w:color="auto"/>
                                                        <w:right w:val="none" w:sz="0" w:space="0" w:color="auto"/>
                                                      </w:divBdr>
                                                    </w:div>
                                                  </w:divsChild>
                                                </w:div>
                                                <w:div w:id="12777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9709">
                                          <w:marLeft w:val="0"/>
                                          <w:marRight w:val="0"/>
                                          <w:marTop w:val="0"/>
                                          <w:marBottom w:val="0"/>
                                          <w:divBdr>
                                            <w:top w:val="none" w:sz="0" w:space="0" w:color="auto"/>
                                            <w:left w:val="none" w:sz="0" w:space="0" w:color="auto"/>
                                            <w:bottom w:val="none" w:sz="0" w:space="0" w:color="auto"/>
                                            <w:right w:val="none" w:sz="0" w:space="0" w:color="auto"/>
                                          </w:divBdr>
                                          <w:divsChild>
                                            <w:div w:id="1134373613">
                                              <w:marLeft w:val="0"/>
                                              <w:marRight w:val="0"/>
                                              <w:marTop w:val="0"/>
                                              <w:marBottom w:val="0"/>
                                              <w:divBdr>
                                                <w:top w:val="none" w:sz="0" w:space="0" w:color="auto"/>
                                                <w:left w:val="none" w:sz="0" w:space="0" w:color="auto"/>
                                                <w:bottom w:val="none" w:sz="0" w:space="0" w:color="auto"/>
                                                <w:right w:val="none" w:sz="0" w:space="0" w:color="auto"/>
                                              </w:divBdr>
                                              <w:divsChild>
                                                <w:div w:id="1035083916">
                                                  <w:marLeft w:val="0"/>
                                                  <w:marRight w:val="0"/>
                                                  <w:marTop w:val="0"/>
                                                  <w:marBottom w:val="0"/>
                                                  <w:divBdr>
                                                    <w:top w:val="none" w:sz="0" w:space="0" w:color="auto"/>
                                                    <w:left w:val="none" w:sz="0" w:space="0" w:color="auto"/>
                                                    <w:bottom w:val="none" w:sz="0" w:space="0" w:color="auto"/>
                                                    <w:right w:val="none" w:sz="0" w:space="0" w:color="auto"/>
                                                  </w:divBdr>
                                                  <w:divsChild>
                                                    <w:div w:id="1547720051">
                                                      <w:marLeft w:val="0"/>
                                                      <w:marRight w:val="0"/>
                                                      <w:marTop w:val="0"/>
                                                      <w:marBottom w:val="0"/>
                                                      <w:divBdr>
                                                        <w:top w:val="none" w:sz="0" w:space="0" w:color="auto"/>
                                                        <w:left w:val="none" w:sz="0" w:space="0" w:color="auto"/>
                                                        <w:bottom w:val="none" w:sz="0" w:space="0" w:color="auto"/>
                                                        <w:right w:val="none" w:sz="0" w:space="0" w:color="auto"/>
                                                      </w:divBdr>
                                                    </w:div>
                                                  </w:divsChild>
                                                </w:div>
                                                <w:div w:id="9951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289">
                                          <w:marLeft w:val="0"/>
                                          <w:marRight w:val="0"/>
                                          <w:marTop w:val="0"/>
                                          <w:marBottom w:val="0"/>
                                          <w:divBdr>
                                            <w:top w:val="none" w:sz="0" w:space="0" w:color="auto"/>
                                            <w:left w:val="none" w:sz="0" w:space="0" w:color="auto"/>
                                            <w:bottom w:val="none" w:sz="0" w:space="0" w:color="auto"/>
                                            <w:right w:val="none" w:sz="0" w:space="0" w:color="auto"/>
                                          </w:divBdr>
                                          <w:divsChild>
                                            <w:div w:id="1013529427">
                                              <w:marLeft w:val="0"/>
                                              <w:marRight w:val="0"/>
                                              <w:marTop w:val="0"/>
                                              <w:marBottom w:val="0"/>
                                              <w:divBdr>
                                                <w:top w:val="none" w:sz="0" w:space="0" w:color="auto"/>
                                                <w:left w:val="none" w:sz="0" w:space="0" w:color="auto"/>
                                                <w:bottom w:val="none" w:sz="0" w:space="0" w:color="auto"/>
                                                <w:right w:val="none" w:sz="0" w:space="0" w:color="auto"/>
                                              </w:divBdr>
                                            </w:div>
                                          </w:divsChild>
                                        </w:div>
                                        <w:div w:id="1915779272">
                                          <w:marLeft w:val="0"/>
                                          <w:marRight w:val="0"/>
                                          <w:marTop w:val="0"/>
                                          <w:marBottom w:val="0"/>
                                          <w:divBdr>
                                            <w:top w:val="none" w:sz="0" w:space="0" w:color="auto"/>
                                            <w:left w:val="none" w:sz="0" w:space="0" w:color="auto"/>
                                            <w:bottom w:val="none" w:sz="0" w:space="0" w:color="auto"/>
                                            <w:right w:val="none" w:sz="0" w:space="0" w:color="auto"/>
                                          </w:divBdr>
                                          <w:divsChild>
                                            <w:div w:id="147285392">
                                              <w:marLeft w:val="0"/>
                                              <w:marRight w:val="0"/>
                                              <w:marTop w:val="0"/>
                                              <w:marBottom w:val="0"/>
                                              <w:divBdr>
                                                <w:top w:val="none" w:sz="0" w:space="0" w:color="auto"/>
                                                <w:left w:val="none" w:sz="0" w:space="0" w:color="auto"/>
                                                <w:bottom w:val="none" w:sz="0" w:space="0" w:color="auto"/>
                                                <w:right w:val="none" w:sz="0" w:space="0" w:color="auto"/>
                                              </w:divBdr>
                                              <w:divsChild>
                                                <w:div w:id="913860133">
                                                  <w:marLeft w:val="0"/>
                                                  <w:marRight w:val="0"/>
                                                  <w:marTop w:val="0"/>
                                                  <w:marBottom w:val="0"/>
                                                  <w:divBdr>
                                                    <w:top w:val="none" w:sz="0" w:space="0" w:color="auto"/>
                                                    <w:left w:val="none" w:sz="0" w:space="0" w:color="auto"/>
                                                    <w:bottom w:val="none" w:sz="0" w:space="0" w:color="auto"/>
                                                    <w:right w:val="none" w:sz="0" w:space="0" w:color="auto"/>
                                                  </w:divBdr>
                                                  <w:divsChild>
                                                    <w:div w:id="1145732987">
                                                      <w:marLeft w:val="0"/>
                                                      <w:marRight w:val="0"/>
                                                      <w:marTop w:val="0"/>
                                                      <w:marBottom w:val="0"/>
                                                      <w:divBdr>
                                                        <w:top w:val="none" w:sz="0" w:space="0" w:color="auto"/>
                                                        <w:left w:val="none" w:sz="0" w:space="0" w:color="auto"/>
                                                        <w:bottom w:val="none" w:sz="0" w:space="0" w:color="auto"/>
                                                        <w:right w:val="none" w:sz="0" w:space="0" w:color="auto"/>
                                                      </w:divBdr>
                                                    </w:div>
                                                  </w:divsChild>
                                                </w:div>
                                                <w:div w:id="11739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230">
                                          <w:marLeft w:val="0"/>
                                          <w:marRight w:val="0"/>
                                          <w:marTop w:val="0"/>
                                          <w:marBottom w:val="0"/>
                                          <w:divBdr>
                                            <w:top w:val="none" w:sz="0" w:space="0" w:color="auto"/>
                                            <w:left w:val="none" w:sz="0" w:space="0" w:color="auto"/>
                                            <w:bottom w:val="none" w:sz="0" w:space="0" w:color="auto"/>
                                            <w:right w:val="none" w:sz="0" w:space="0" w:color="auto"/>
                                          </w:divBdr>
                                          <w:divsChild>
                                            <w:div w:id="12407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954">
                                  <w:marLeft w:val="450"/>
                                  <w:marRight w:val="0"/>
                                  <w:marTop w:val="0"/>
                                  <w:marBottom w:val="0"/>
                                  <w:divBdr>
                                    <w:top w:val="none" w:sz="0" w:space="0" w:color="auto"/>
                                    <w:left w:val="none" w:sz="0" w:space="0" w:color="auto"/>
                                    <w:bottom w:val="none" w:sz="0" w:space="0" w:color="auto"/>
                                    <w:right w:val="none" w:sz="0" w:space="0" w:color="auto"/>
                                  </w:divBdr>
                                  <w:divsChild>
                                    <w:div w:id="1576435345">
                                      <w:marLeft w:val="0"/>
                                      <w:marRight w:val="0"/>
                                      <w:marTop w:val="0"/>
                                      <w:marBottom w:val="299"/>
                                      <w:divBdr>
                                        <w:top w:val="none" w:sz="0" w:space="0" w:color="auto"/>
                                        <w:left w:val="none" w:sz="0" w:space="0" w:color="auto"/>
                                        <w:bottom w:val="none" w:sz="0" w:space="0" w:color="auto"/>
                                        <w:right w:val="none" w:sz="0" w:space="0" w:color="auto"/>
                                      </w:divBdr>
                                    </w:div>
                                    <w:div w:id="1472483152">
                                      <w:marLeft w:val="0"/>
                                      <w:marRight w:val="0"/>
                                      <w:marTop w:val="0"/>
                                      <w:marBottom w:val="0"/>
                                      <w:divBdr>
                                        <w:top w:val="none" w:sz="0" w:space="0" w:color="auto"/>
                                        <w:left w:val="none" w:sz="0" w:space="0" w:color="auto"/>
                                        <w:bottom w:val="none" w:sz="0" w:space="0" w:color="auto"/>
                                        <w:right w:val="none" w:sz="0" w:space="0" w:color="auto"/>
                                      </w:divBdr>
                                      <w:divsChild>
                                        <w:div w:id="1380978291">
                                          <w:marLeft w:val="0"/>
                                          <w:marRight w:val="0"/>
                                          <w:marTop w:val="0"/>
                                          <w:marBottom w:val="300"/>
                                          <w:divBdr>
                                            <w:top w:val="none" w:sz="0" w:space="0" w:color="auto"/>
                                            <w:left w:val="none" w:sz="0" w:space="0" w:color="auto"/>
                                            <w:bottom w:val="none" w:sz="0" w:space="0" w:color="auto"/>
                                            <w:right w:val="none" w:sz="0" w:space="0" w:color="auto"/>
                                          </w:divBdr>
                                          <w:divsChild>
                                            <w:div w:id="322396629">
                                              <w:marLeft w:val="0"/>
                                              <w:marRight w:val="0"/>
                                              <w:marTop w:val="0"/>
                                              <w:marBottom w:val="0"/>
                                              <w:divBdr>
                                                <w:top w:val="none" w:sz="0" w:space="0" w:color="auto"/>
                                                <w:left w:val="none" w:sz="0" w:space="0" w:color="auto"/>
                                                <w:bottom w:val="none" w:sz="0" w:space="0" w:color="auto"/>
                                                <w:right w:val="none" w:sz="0" w:space="0" w:color="auto"/>
                                              </w:divBdr>
                                              <w:divsChild>
                                                <w:div w:id="9366019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tes.org/fl/bills/2021/SB1592/" TargetMode="External"/><Relationship Id="rId5" Type="http://schemas.openxmlformats.org/officeDocument/2006/relationships/hyperlink" Target="https://www.flsenate.gov/Session/Bill/2021/12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Carter</dc:creator>
  <cp:keywords/>
  <dc:description/>
  <cp:lastModifiedBy>Allison Carter</cp:lastModifiedBy>
  <cp:revision>1</cp:revision>
  <cp:lastPrinted>2021-03-19T14:05:00Z</cp:lastPrinted>
  <dcterms:created xsi:type="dcterms:W3CDTF">2021-03-19T14:03:00Z</dcterms:created>
  <dcterms:modified xsi:type="dcterms:W3CDTF">2021-03-19T14:10:00Z</dcterms:modified>
</cp:coreProperties>
</file>