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987B2" w14:textId="77777777" w:rsidR="00EB609E" w:rsidRDefault="00EB609E" w:rsidP="00EB609E">
      <w:pPr>
        <w:spacing w:line="252" w:lineRule="auto"/>
        <w:jc w:val="center"/>
        <w:rPr>
          <w:b/>
          <w:bCs/>
          <w:sz w:val="28"/>
          <w:szCs w:val="28"/>
        </w:rPr>
      </w:pPr>
      <w:bookmarkStart w:id="0" w:name="_Hlk494952231"/>
      <w:bookmarkStart w:id="1" w:name="_Hlk494869559"/>
      <w:r>
        <w:rPr>
          <w:b/>
          <w:bCs/>
          <w:sz w:val="28"/>
          <w:szCs w:val="28"/>
        </w:rPr>
        <w:t>FE</w:t>
      </w:r>
      <w:bookmarkStart w:id="2" w:name="_GoBack"/>
      <w:bookmarkEnd w:id="2"/>
      <w:r>
        <w:rPr>
          <w:b/>
          <w:bCs/>
          <w:sz w:val="28"/>
          <w:szCs w:val="28"/>
        </w:rPr>
        <w:t>CA’s Florida Legislative Report</w:t>
      </w:r>
    </w:p>
    <w:p w14:paraId="2FA7A609" w14:textId="54F9BC21" w:rsidR="00EB609E" w:rsidRDefault="009B1D80" w:rsidP="00EB609E">
      <w:pPr>
        <w:spacing w:line="252" w:lineRule="auto"/>
        <w:jc w:val="center"/>
        <w:rPr>
          <w:b/>
          <w:bCs/>
          <w:sz w:val="28"/>
          <w:szCs w:val="28"/>
        </w:rPr>
      </w:pPr>
      <w:r>
        <w:rPr>
          <w:b/>
          <w:bCs/>
          <w:sz w:val="28"/>
          <w:szCs w:val="28"/>
        </w:rPr>
        <w:t>January 2</w:t>
      </w:r>
      <w:r w:rsidR="00747E01">
        <w:rPr>
          <w:b/>
          <w:bCs/>
          <w:sz w:val="28"/>
          <w:szCs w:val="28"/>
        </w:rPr>
        <w:t>8</w:t>
      </w:r>
      <w:r>
        <w:rPr>
          <w:b/>
          <w:bCs/>
          <w:sz w:val="28"/>
          <w:szCs w:val="28"/>
        </w:rPr>
        <w:t>, 2019</w:t>
      </w:r>
    </w:p>
    <w:p w14:paraId="4D997019" w14:textId="14CABD7D" w:rsidR="00EB609E" w:rsidRDefault="009B1D80" w:rsidP="00EB609E">
      <w:pPr>
        <w:spacing w:line="252" w:lineRule="auto"/>
        <w:rPr>
          <w:sz w:val="28"/>
          <w:szCs w:val="28"/>
        </w:rPr>
      </w:pPr>
      <w:r>
        <w:rPr>
          <w:sz w:val="28"/>
          <w:szCs w:val="28"/>
        </w:rPr>
        <w:tab/>
      </w:r>
    </w:p>
    <w:p w14:paraId="2E78D756" w14:textId="68DEBC0C" w:rsidR="00747E01" w:rsidRDefault="00747E01" w:rsidP="0035123A">
      <w:pPr>
        <w:jc w:val="both"/>
        <w:rPr>
          <w:rFonts w:asciiTheme="minorHAnsi" w:hAnsiTheme="minorHAnsi" w:cstheme="minorHAnsi"/>
          <w:sz w:val="28"/>
          <w:szCs w:val="28"/>
        </w:rPr>
      </w:pPr>
      <w:r>
        <w:rPr>
          <w:sz w:val="28"/>
          <w:szCs w:val="28"/>
        </w:rPr>
        <w:t xml:space="preserve">Late last week, </w:t>
      </w:r>
      <w:r w:rsidR="0035123A">
        <w:rPr>
          <w:sz w:val="28"/>
          <w:szCs w:val="28"/>
        </w:rPr>
        <w:t xml:space="preserve">a press </w:t>
      </w:r>
      <w:hyperlink r:id="rId4" w:history="1">
        <w:r w:rsidR="0035123A" w:rsidRPr="0035123A">
          <w:rPr>
            <w:rStyle w:val="Hyperlink"/>
            <w:sz w:val="28"/>
            <w:szCs w:val="28"/>
          </w:rPr>
          <w:t>article</w:t>
        </w:r>
      </w:hyperlink>
      <w:r>
        <w:rPr>
          <w:sz w:val="28"/>
          <w:szCs w:val="28"/>
        </w:rPr>
        <w:t xml:space="preserve"> </w:t>
      </w:r>
      <w:r w:rsidR="0035123A">
        <w:rPr>
          <w:sz w:val="28"/>
          <w:szCs w:val="28"/>
        </w:rPr>
        <w:t>stated</w:t>
      </w:r>
      <w:r>
        <w:rPr>
          <w:sz w:val="28"/>
          <w:szCs w:val="28"/>
        </w:rPr>
        <w:t xml:space="preserve"> the group </w:t>
      </w:r>
      <w:r w:rsidR="0035123A">
        <w:rPr>
          <w:sz w:val="28"/>
          <w:szCs w:val="28"/>
        </w:rPr>
        <w:t>supporting</w:t>
      </w:r>
      <w:r>
        <w:rPr>
          <w:sz w:val="28"/>
          <w:szCs w:val="28"/>
        </w:rPr>
        <w:t xml:space="preserve"> </w:t>
      </w:r>
      <w:r w:rsidR="0035123A">
        <w:rPr>
          <w:sz w:val="28"/>
          <w:szCs w:val="28"/>
        </w:rPr>
        <w:t>the Electric Utility</w:t>
      </w:r>
      <w:r>
        <w:rPr>
          <w:sz w:val="28"/>
          <w:szCs w:val="28"/>
        </w:rPr>
        <w:t xml:space="preserve"> re-regulation amendment </w:t>
      </w:r>
      <w:r w:rsidR="0035123A">
        <w:rPr>
          <w:sz w:val="28"/>
          <w:szCs w:val="28"/>
        </w:rPr>
        <w:t xml:space="preserve">has </w:t>
      </w:r>
      <w:r>
        <w:rPr>
          <w:sz w:val="28"/>
          <w:szCs w:val="28"/>
        </w:rPr>
        <w:t xml:space="preserve">collected enough signatures to trigger review by the Florida Supreme Court.  </w:t>
      </w:r>
      <w:r w:rsidR="00EF1EAC">
        <w:rPr>
          <w:rFonts w:asciiTheme="minorHAnsi" w:hAnsiTheme="minorHAnsi" w:cstheme="minorHAnsi"/>
          <w:sz w:val="28"/>
          <w:szCs w:val="28"/>
        </w:rPr>
        <w:t>To date</w:t>
      </w:r>
      <w:r w:rsidRPr="00747E01">
        <w:rPr>
          <w:rFonts w:asciiTheme="minorHAnsi" w:hAnsiTheme="minorHAnsi" w:cstheme="minorHAnsi"/>
          <w:sz w:val="28"/>
          <w:szCs w:val="28"/>
        </w:rPr>
        <w:t>, the Division of Election website still shows the initiative’s proponents just short of the 76,632 signatures, verified from the appropriate number of Congressional districts, needed to move forward.  However, it will likely not take long for the website to be updated with new numbers officializing the announcement.</w:t>
      </w:r>
      <w:r>
        <w:rPr>
          <w:rFonts w:asciiTheme="minorHAnsi" w:hAnsiTheme="minorHAnsi" w:cstheme="minorHAnsi"/>
          <w:sz w:val="28"/>
          <w:szCs w:val="28"/>
        </w:rPr>
        <w:t xml:space="preserve"> </w:t>
      </w:r>
      <w:r w:rsidR="005B7C7B">
        <w:rPr>
          <w:rFonts w:asciiTheme="minorHAnsi" w:hAnsiTheme="minorHAnsi" w:cstheme="minorHAnsi"/>
          <w:sz w:val="28"/>
          <w:szCs w:val="28"/>
        </w:rPr>
        <w:t xml:space="preserve"> </w:t>
      </w:r>
      <w:hyperlink r:id="rId5" w:history="1">
        <w:r w:rsidRPr="0035123A">
          <w:rPr>
            <w:rStyle w:val="Hyperlink"/>
            <w:rFonts w:asciiTheme="minorHAnsi" w:hAnsiTheme="minorHAnsi" w:cstheme="minorHAnsi"/>
            <w:sz w:val="28"/>
            <w:szCs w:val="28"/>
          </w:rPr>
          <w:t>AIF and the Florida Chamber</w:t>
        </w:r>
      </w:hyperlink>
      <w:r w:rsidRPr="00747E01">
        <w:rPr>
          <w:rFonts w:asciiTheme="minorHAnsi" w:hAnsiTheme="minorHAnsi" w:cstheme="minorHAnsi"/>
          <w:sz w:val="28"/>
          <w:szCs w:val="28"/>
        </w:rPr>
        <w:t xml:space="preserve"> immediately released statements condemning the initiative.  Having these business organizations come out early against this proposal is a positive development and sends a strong signal of support to the electric utilities.</w:t>
      </w:r>
    </w:p>
    <w:p w14:paraId="4904CC62" w14:textId="77777777" w:rsidR="0035123A" w:rsidRPr="00747E01" w:rsidRDefault="0035123A" w:rsidP="0035123A">
      <w:pPr>
        <w:rPr>
          <w:rFonts w:asciiTheme="minorHAnsi" w:hAnsiTheme="minorHAnsi" w:cstheme="minorHAnsi"/>
          <w:sz w:val="28"/>
          <w:szCs w:val="28"/>
        </w:rPr>
      </w:pPr>
    </w:p>
    <w:p w14:paraId="073DD527" w14:textId="77F20672" w:rsidR="0035123A" w:rsidRDefault="0035123A" w:rsidP="0035123A">
      <w:pPr>
        <w:ind w:firstLine="360"/>
        <w:jc w:val="both"/>
        <w:rPr>
          <w:sz w:val="28"/>
          <w:szCs w:val="28"/>
        </w:rPr>
      </w:pPr>
      <w:r>
        <w:rPr>
          <w:sz w:val="28"/>
          <w:szCs w:val="28"/>
        </w:rPr>
        <w:t>During the</w:t>
      </w:r>
      <w:r w:rsidR="00747E01">
        <w:rPr>
          <w:sz w:val="28"/>
          <w:szCs w:val="28"/>
        </w:rPr>
        <w:t xml:space="preserve"> Legislative Committee week, the House Energy and Utilities Committee,</w:t>
      </w:r>
      <w:r w:rsidR="00B61F85">
        <w:rPr>
          <w:sz w:val="28"/>
          <w:szCs w:val="28"/>
        </w:rPr>
        <w:t xml:space="preserve"> request</w:t>
      </w:r>
      <w:r w:rsidR="00747E01">
        <w:rPr>
          <w:sz w:val="28"/>
          <w:szCs w:val="28"/>
        </w:rPr>
        <w:t>ed</w:t>
      </w:r>
      <w:r w:rsidR="00B61F85">
        <w:rPr>
          <w:sz w:val="28"/>
          <w:szCs w:val="28"/>
        </w:rPr>
        <w:t xml:space="preserve"> </w:t>
      </w:r>
      <w:r w:rsidR="0000151F">
        <w:rPr>
          <w:sz w:val="28"/>
          <w:szCs w:val="28"/>
        </w:rPr>
        <w:t>that</w:t>
      </w:r>
      <w:r w:rsidR="00B61F85">
        <w:rPr>
          <w:sz w:val="28"/>
          <w:szCs w:val="28"/>
        </w:rPr>
        <w:t xml:space="preserve"> </w:t>
      </w:r>
      <w:r w:rsidR="009224F0">
        <w:rPr>
          <w:sz w:val="28"/>
          <w:szCs w:val="28"/>
        </w:rPr>
        <w:t>each electric</w:t>
      </w:r>
      <w:r w:rsidR="00B61F85">
        <w:rPr>
          <w:sz w:val="28"/>
          <w:szCs w:val="28"/>
        </w:rPr>
        <w:t xml:space="preserve"> utility</w:t>
      </w:r>
      <w:r w:rsidR="00EF1EAC">
        <w:rPr>
          <w:sz w:val="28"/>
          <w:szCs w:val="28"/>
        </w:rPr>
        <w:t xml:space="preserve"> impacted by Hurricane Michael</w:t>
      </w:r>
      <w:r w:rsidR="00B61F85">
        <w:rPr>
          <w:sz w:val="28"/>
          <w:szCs w:val="28"/>
        </w:rPr>
        <w:t xml:space="preserve"> present </w:t>
      </w:r>
      <w:r w:rsidR="00EF1EAC">
        <w:rPr>
          <w:sz w:val="28"/>
          <w:szCs w:val="28"/>
        </w:rPr>
        <w:t xml:space="preserve">on </w:t>
      </w:r>
      <w:r w:rsidR="00EB609E">
        <w:rPr>
          <w:sz w:val="28"/>
          <w:szCs w:val="28"/>
        </w:rPr>
        <w:t xml:space="preserve">the pre-storm preparation and post-storm recovery actions.  </w:t>
      </w:r>
      <w:r w:rsidR="00B61F85">
        <w:rPr>
          <w:sz w:val="28"/>
          <w:szCs w:val="28"/>
        </w:rPr>
        <w:t>Statewide’s</w:t>
      </w:r>
      <w:r w:rsidR="00EB609E">
        <w:rPr>
          <w:sz w:val="28"/>
          <w:szCs w:val="28"/>
        </w:rPr>
        <w:t xml:space="preserve"> presentation included a brief overview about electric cooperatives, how we approached and managed the impact of the storm for our members and the utilization of mutual aid. Statewide will continue to educate legislators in the coming weeks regarding the</w:t>
      </w:r>
      <w:r w:rsidR="0000151F">
        <w:rPr>
          <w:sz w:val="28"/>
          <w:szCs w:val="28"/>
        </w:rPr>
        <w:t xml:space="preserve"> Hurricane’s</w:t>
      </w:r>
      <w:r w:rsidR="00EB609E">
        <w:rPr>
          <w:sz w:val="28"/>
          <w:szCs w:val="28"/>
        </w:rPr>
        <w:t xml:space="preserve"> impacts to our members.  </w:t>
      </w:r>
      <w:r w:rsidR="009224F0">
        <w:rPr>
          <w:sz w:val="28"/>
          <w:szCs w:val="28"/>
        </w:rPr>
        <w:t xml:space="preserve">If you would like to review the presentation in the Energy and Utilities Committee you may do so </w:t>
      </w:r>
      <w:hyperlink r:id="rId6" w:history="1">
        <w:r w:rsidR="009224F0" w:rsidRPr="00747E01">
          <w:rPr>
            <w:rStyle w:val="Hyperlink"/>
            <w:sz w:val="28"/>
            <w:szCs w:val="28"/>
          </w:rPr>
          <w:t>here</w:t>
        </w:r>
      </w:hyperlink>
      <w:r w:rsidR="009224F0">
        <w:rPr>
          <w:sz w:val="28"/>
          <w:szCs w:val="28"/>
        </w:rPr>
        <w:t>.</w:t>
      </w:r>
      <w:r w:rsidR="005B7C7B">
        <w:rPr>
          <w:sz w:val="28"/>
          <w:szCs w:val="28"/>
        </w:rPr>
        <w:t xml:space="preserve">  The presentation begins about the 1:39</w:t>
      </w:r>
      <w:r w:rsidR="0000151F">
        <w:rPr>
          <w:sz w:val="28"/>
          <w:szCs w:val="28"/>
        </w:rPr>
        <w:t>:20 mark.</w:t>
      </w:r>
      <w:r w:rsidR="009224F0">
        <w:rPr>
          <w:sz w:val="28"/>
          <w:szCs w:val="28"/>
        </w:rPr>
        <w:t xml:space="preserve"> </w:t>
      </w:r>
    </w:p>
    <w:p w14:paraId="1D72F61F" w14:textId="77777777" w:rsidR="0035123A" w:rsidRDefault="0035123A" w:rsidP="0035123A">
      <w:pPr>
        <w:ind w:firstLine="360"/>
        <w:jc w:val="both"/>
        <w:rPr>
          <w:sz w:val="28"/>
          <w:szCs w:val="28"/>
        </w:rPr>
      </w:pPr>
    </w:p>
    <w:p w14:paraId="1473831F" w14:textId="68E5EE24" w:rsidR="00EB609E" w:rsidRDefault="00B61F85" w:rsidP="0035123A">
      <w:pPr>
        <w:spacing w:after="160" w:line="252" w:lineRule="auto"/>
        <w:ind w:firstLine="360"/>
        <w:jc w:val="both"/>
        <w:rPr>
          <w:sz w:val="28"/>
          <w:szCs w:val="28"/>
        </w:rPr>
      </w:pPr>
      <w:r>
        <w:rPr>
          <w:sz w:val="28"/>
          <w:szCs w:val="28"/>
        </w:rPr>
        <w:t>T</w:t>
      </w:r>
      <w:r w:rsidR="00EB609E">
        <w:rPr>
          <w:sz w:val="28"/>
          <w:szCs w:val="28"/>
        </w:rPr>
        <w:t>he 201</w:t>
      </w:r>
      <w:r>
        <w:rPr>
          <w:sz w:val="28"/>
          <w:szCs w:val="28"/>
        </w:rPr>
        <w:t>9</w:t>
      </w:r>
      <w:r w:rsidR="00EB609E">
        <w:rPr>
          <w:sz w:val="28"/>
          <w:szCs w:val="28"/>
        </w:rPr>
        <w:t xml:space="preserve"> Legislative Session begins </w:t>
      </w:r>
      <w:r>
        <w:rPr>
          <w:sz w:val="28"/>
          <w:szCs w:val="28"/>
        </w:rPr>
        <w:t>March 5</w:t>
      </w:r>
      <w:r w:rsidR="00EB609E">
        <w:rPr>
          <w:sz w:val="28"/>
          <w:szCs w:val="28"/>
        </w:rPr>
        <w:t xml:space="preserve">. </w:t>
      </w:r>
      <w:r w:rsidR="005B7C7B">
        <w:rPr>
          <w:sz w:val="28"/>
          <w:szCs w:val="28"/>
        </w:rPr>
        <w:t>L</w:t>
      </w:r>
      <w:r w:rsidR="00EB609E">
        <w:rPr>
          <w:sz w:val="28"/>
          <w:szCs w:val="28"/>
        </w:rPr>
        <w:t xml:space="preserve">egislation is filed daily and committees have completed many of their preliminary presentations </w:t>
      </w:r>
      <w:r w:rsidR="005B7C7B">
        <w:rPr>
          <w:sz w:val="28"/>
          <w:szCs w:val="28"/>
        </w:rPr>
        <w:t xml:space="preserve">Therefore, </w:t>
      </w:r>
      <w:r w:rsidR="00EB609E">
        <w:rPr>
          <w:sz w:val="28"/>
          <w:szCs w:val="28"/>
        </w:rPr>
        <w:t xml:space="preserve">more bills will begin to be heard during the </w:t>
      </w:r>
      <w:r w:rsidR="009224F0">
        <w:rPr>
          <w:sz w:val="28"/>
          <w:szCs w:val="28"/>
        </w:rPr>
        <w:t xml:space="preserve">February </w:t>
      </w:r>
      <w:r w:rsidR="00EB609E">
        <w:rPr>
          <w:sz w:val="28"/>
          <w:szCs w:val="28"/>
        </w:rPr>
        <w:t>committee weeks.  Below are the current bills of interest that have been filed thus far. Each week, the report will prioritize in the following manner: New legislation filed, priority, monitor, and tracking. Future reports will also include relevant proposed Constitutional amendments</w:t>
      </w:r>
      <w:r w:rsidR="00EF1EAC">
        <w:rPr>
          <w:sz w:val="28"/>
          <w:szCs w:val="28"/>
        </w:rPr>
        <w:t>.</w:t>
      </w:r>
      <w:r w:rsidR="00EB609E">
        <w:rPr>
          <w:sz w:val="28"/>
          <w:szCs w:val="28"/>
        </w:rPr>
        <w:t xml:space="preserve">   </w:t>
      </w:r>
      <w:r w:rsidR="005B7C7B">
        <w:rPr>
          <w:sz w:val="28"/>
          <w:szCs w:val="28"/>
        </w:rPr>
        <w:t>I</w:t>
      </w:r>
      <w:r w:rsidR="00EB609E">
        <w:rPr>
          <w:sz w:val="28"/>
          <w:szCs w:val="28"/>
        </w:rPr>
        <w:t xml:space="preserve">f you would like more detailed information or an explanation on any legislation or why it is located in a specific area, please do not hesitate to reach out to Allison or Mike.  </w:t>
      </w:r>
    </w:p>
    <w:p w14:paraId="2698F988" w14:textId="11E4017F" w:rsidR="009224F0" w:rsidRDefault="009224F0" w:rsidP="00EB609E">
      <w:pPr>
        <w:spacing w:after="160" w:line="252" w:lineRule="auto"/>
        <w:jc w:val="center"/>
        <w:rPr>
          <w:b/>
          <w:bCs/>
          <w:sz w:val="32"/>
          <w:szCs w:val="32"/>
          <w:u w:val="single"/>
        </w:rPr>
      </w:pPr>
      <w:r>
        <w:rPr>
          <w:b/>
          <w:bCs/>
          <w:sz w:val="32"/>
          <w:szCs w:val="32"/>
          <w:u w:val="single"/>
        </w:rPr>
        <w:t>NEW LEGISLATION FILED</w:t>
      </w:r>
    </w:p>
    <w:p w14:paraId="5B10CA06" w14:textId="77777777" w:rsidR="00EB609E" w:rsidRDefault="00EB609E" w:rsidP="00EB609E">
      <w:pPr>
        <w:jc w:val="both"/>
        <w:rPr>
          <w:b/>
          <w:bCs/>
          <w:sz w:val="32"/>
          <w:szCs w:val="32"/>
          <w:u w:val="single"/>
        </w:rPr>
      </w:pPr>
      <w:r>
        <w:rPr>
          <w:b/>
          <w:bCs/>
          <w:sz w:val="32"/>
          <w:szCs w:val="32"/>
          <w:u w:val="single"/>
        </w:rPr>
        <w:t>Exempting Renewable Energy Sources from Definition of Public Utility</w:t>
      </w:r>
    </w:p>
    <w:p w14:paraId="2E232B9C" w14:textId="2EDE1168" w:rsidR="00EB609E" w:rsidRDefault="00EB609E" w:rsidP="00EB609E">
      <w:pPr>
        <w:jc w:val="both"/>
        <w:rPr>
          <w:b/>
          <w:bCs/>
          <w:sz w:val="24"/>
          <w:szCs w:val="24"/>
        </w:rPr>
      </w:pPr>
      <w:r>
        <w:rPr>
          <w:sz w:val="24"/>
          <w:szCs w:val="24"/>
        </w:rPr>
        <w:t>(SB 2</w:t>
      </w:r>
      <w:r w:rsidR="001A3A12">
        <w:rPr>
          <w:sz w:val="24"/>
          <w:szCs w:val="24"/>
        </w:rPr>
        <w:t>22</w:t>
      </w:r>
      <w:r>
        <w:rPr>
          <w:sz w:val="24"/>
          <w:szCs w:val="24"/>
        </w:rPr>
        <w:t>/HB ____)</w:t>
      </w:r>
    </w:p>
    <w:p w14:paraId="164CDAF0" w14:textId="77777777" w:rsidR="00EB609E" w:rsidRDefault="00EB609E" w:rsidP="00EB609E">
      <w:pPr>
        <w:jc w:val="both"/>
        <w:rPr>
          <w:sz w:val="24"/>
          <w:szCs w:val="24"/>
        </w:rPr>
      </w:pPr>
      <w:r>
        <w:rPr>
          <w:b/>
          <w:bCs/>
          <w:sz w:val="24"/>
          <w:szCs w:val="24"/>
        </w:rPr>
        <w:lastRenderedPageBreak/>
        <w:t>Sponsors</w:t>
      </w:r>
      <w:r>
        <w:rPr>
          <w:sz w:val="24"/>
          <w:szCs w:val="24"/>
        </w:rPr>
        <w:t>: Sen Rodriguez / Rep</w:t>
      </w:r>
    </w:p>
    <w:p w14:paraId="74820616" w14:textId="0D178FEF" w:rsidR="001A3A12" w:rsidRDefault="00EB609E" w:rsidP="001A3A12">
      <w:pPr>
        <w:jc w:val="both"/>
        <w:rPr>
          <w:b/>
          <w:bCs/>
          <w:sz w:val="24"/>
          <w:szCs w:val="24"/>
        </w:rPr>
      </w:pPr>
      <w:r>
        <w:rPr>
          <w:b/>
          <w:bCs/>
          <w:sz w:val="24"/>
          <w:szCs w:val="24"/>
        </w:rPr>
        <w:t>Summary:</w:t>
      </w:r>
      <w:r w:rsidR="001A3A12" w:rsidRPr="001A3A12">
        <w:rPr>
          <w:b/>
          <w:bCs/>
          <w:sz w:val="24"/>
          <w:szCs w:val="24"/>
        </w:rPr>
        <w:t xml:space="preserve"> </w:t>
      </w:r>
      <w:r w:rsidR="001A3A12">
        <w:rPr>
          <w:b/>
          <w:bCs/>
          <w:sz w:val="24"/>
          <w:szCs w:val="24"/>
        </w:rPr>
        <w:t xml:space="preserve">This bill is </w:t>
      </w:r>
      <w:r w:rsidR="00EC0C6C">
        <w:rPr>
          <w:b/>
          <w:bCs/>
          <w:sz w:val="24"/>
          <w:szCs w:val="24"/>
        </w:rPr>
        <w:t>very similar</w:t>
      </w:r>
      <w:r w:rsidR="001A3A12">
        <w:rPr>
          <w:b/>
          <w:bCs/>
          <w:sz w:val="24"/>
          <w:szCs w:val="24"/>
        </w:rPr>
        <w:t xml:space="preserve"> to SB 292 from last session.  Last year, it did not have a companion and was never heard in committee. </w:t>
      </w:r>
    </w:p>
    <w:p w14:paraId="1BB7E7A8" w14:textId="77777777" w:rsidR="00EB609E" w:rsidRDefault="00EB609E" w:rsidP="00EB609E">
      <w:pPr>
        <w:jc w:val="both"/>
        <w:rPr>
          <w:sz w:val="24"/>
          <w:szCs w:val="24"/>
        </w:rPr>
      </w:pPr>
      <w:r>
        <w:rPr>
          <w:sz w:val="24"/>
          <w:szCs w:val="24"/>
        </w:rPr>
        <w:t>Exempt certain renewable energy sources from the definition of “public utility” which would make them unregulated by the PSC.  The eligibility would meet the following criteria: Property owner must own and operate on their property; max capacity of 2.5MWs; produces and sells energy to users located on the property.</w:t>
      </w:r>
    </w:p>
    <w:p w14:paraId="793EC702" w14:textId="77777777" w:rsidR="00EB609E" w:rsidRDefault="00EB609E" w:rsidP="00EB609E">
      <w:pPr>
        <w:jc w:val="both"/>
        <w:rPr>
          <w:b/>
          <w:bCs/>
          <w:sz w:val="24"/>
          <w:szCs w:val="24"/>
        </w:rPr>
      </w:pPr>
      <w:r>
        <w:rPr>
          <w:b/>
          <w:bCs/>
          <w:sz w:val="24"/>
          <w:szCs w:val="24"/>
        </w:rPr>
        <w:t>Impact / Importance to Co-ops:</w:t>
      </w:r>
    </w:p>
    <w:p w14:paraId="786593A8" w14:textId="77777777" w:rsidR="00EB609E" w:rsidRDefault="00EB609E" w:rsidP="00EB609E">
      <w:pPr>
        <w:jc w:val="both"/>
        <w:rPr>
          <w:sz w:val="24"/>
          <w:szCs w:val="24"/>
        </w:rPr>
      </w:pPr>
      <w:r>
        <w:rPr>
          <w:sz w:val="24"/>
          <w:szCs w:val="24"/>
        </w:rPr>
        <w:t>Entities generating renewable energy would be selling electricity at retail without oversight.  The bill is silent on many aspects such as wheeling power, safety requirements, and interconnection agreements with incumbent utilities.</w:t>
      </w:r>
    </w:p>
    <w:p w14:paraId="6BDE7EA7" w14:textId="77777777" w:rsidR="00EB609E" w:rsidRDefault="00EB609E" w:rsidP="00EB609E">
      <w:pPr>
        <w:jc w:val="both"/>
        <w:rPr>
          <w:b/>
          <w:bCs/>
          <w:sz w:val="24"/>
          <w:szCs w:val="24"/>
        </w:rPr>
      </w:pPr>
      <w:r>
        <w:rPr>
          <w:b/>
          <w:bCs/>
          <w:sz w:val="24"/>
          <w:szCs w:val="24"/>
        </w:rPr>
        <w:t>Committee Assignments:</w:t>
      </w:r>
    </w:p>
    <w:p w14:paraId="51ADB8CA" w14:textId="0CA22059" w:rsidR="00EB609E" w:rsidRDefault="00EB609E" w:rsidP="00EB609E">
      <w:pPr>
        <w:jc w:val="both"/>
        <w:rPr>
          <w:sz w:val="24"/>
          <w:szCs w:val="24"/>
        </w:rPr>
      </w:pPr>
      <w:r>
        <w:rPr>
          <w:sz w:val="24"/>
          <w:szCs w:val="24"/>
        </w:rPr>
        <w:t>SB</w:t>
      </w:r>
      <w:r w:rsidR="001A3A12">
        <w:rPr>
          <w:sz w:val="24"/>
          <w:szCs w:val="24"/>
        </w:rPr>
        <w:t xml:space="preserve"> </w:t>
      </w:r>
      <w:r>
        <w:rPr>
          <w:sz w:val="24"/>
          <w:szCs w:val="24"/>
        </w:rPr>
        <w:t xml:space="preserve">292: </w:t>
      </w:r>
      <w:r w:rsidR="001A3A12">
        <w:rPr>
          <w:sz w:val="24"/>
          <w:szCs w:val="24"/>
        </w:rPr>
        <w:t>Not yet Available</w:t>
      </w:r>
    </w:p>
    <w:p w14:paraId="42BFA16A" w14:textId="30B45500" w:rsidR="001A3A12" w:rsidRDefault="001A3A12" w:rsidP="00EB609E">
      <w:pPr>
        <w:jc w:val="both"/>
        <w:rPr>
          <w:sz w:val="24"/>
          <w:szCs w:val="24"/>
        </w:rPr>
      </w:pPr>
      <w:r>
        <w:rPr>
          <w:sz w:val="24"/>
          <w:szCs w:val="24"/>
        </w:rPr>
        <w:t>HB ___:</w:t>
      </w:r>
    </w:p>
    <w:p w14:paraId="1096FB6C" w14:textId="731A19E2" w:rsidR="00EB609E" w:rsidRDefault="00EB609E" w:rsidP="00EB609E">
      <w:pPr>
        <w:jc w:val="both"/>
        <w:rPr>
          <w:b/>
          <w:bCs/>
          <w:sz w:val="28"/>
          <w:szCs w:val="28"/>
        </w:rPr>
      </w:pPr>
      <w:r>
        <w:rPr>
          <w:b/>
          <w:bCs/>
          <w:sz w:val="28"/>
          <w:szCs w:val="28"/>
        </w:rPr>
        <w:t>ACTION RECOMMENDED: OPPOSE</w:t>
      </w:r>
    </w:p>
    <w:p w14:paraId="00CFE782" w14:textId="46423E01" w:rsidR="00EB609E" w:rsidRPr="009224F0" w:rsidRDefault="009224F0" w:rsidP="009224F0">
      <w:pPr>
        <w:jc w:val="both"/>
        <w:rPr>
          <w:b/>
          <w:bCs/>
          <w:sz w:val="28"/>
          <w:szCs w:val="28"/>
        </w:rPr>
      </w:pPr>
      <w:bookmarkStart w:id="3" w:name="_Hlk536096020"/>
      <w:r>
        <w:rPr>
          <w:b/>
          <w:bCs/>
          <w:sz w:val="28"/>
          <w:szCs w:val="28"/>
        </w:rPr>
        <w:t>Bill Report Location: Priority</w:t>
      </w:r>
      <w:bookmarkEnd w:id="3"/>
    </w:p>
    <w:p w14:paraId="42F12312" w14:textId="77777777" w:rsidR="00EB609E" w:rsidRDefault="00EB609E" w:rsidP="00EB609E">
      <w:pPr>
        <w:jc w:val="both"/>
        <w:rPr>
          <w:b/>
          <w:bCs/>
          <w:sz w:val="28"/>
          <w:szCs w:val="28"/>
        </w:rPr>
      </w:pPr>
      <w:bookmarkStart w:id="4" w:name="_Hlk496683216"/>
      <w:bookmarkEnd w:id="0"/>
      <w:bookmarkEnd w:id="1"/>
    </w:p>
    <w:bookmarkEnd w:id="4"/>
    <w:p w14:paraId="21102DAE" w14:textId="77777777" w:rsidR="00EB609E" w:rsidRPr="00EB609E" w:rsidRDefault="00EB609E" w:rsidP="00EB609E">
      <w:pPr>
        <w:jc w:val="both"/>
      </w:pPr>
      <w:r w:rsidRPr="00EB609E">
        <w:rPr>
          <w:b/>
          <w:bCs/>
          <w:sz w:val="32"/>
          <w:szCs w:val="32"/>
          <w:u w:val="single"/>
        </w:rPr>
        <w:t>Theft</w:t>
      </w:r>
    </w:p>
    <w:p w14:paraId="04B53D5D" w14:textId="7450F273" w:rsidR="00EB609E" w:rsidRPr="00EB609E" w:rsidRDefault="00EB609E" w:rsidP="00EB609E">
      <w:pPr>
        <w:jc w:val="both"/>
      </w:pPr>
      <w:r w:rsidRPr="00EB609E">
        <w:rPr>
          <w:sz w:val="24"/>
          <w:szCs w:val="24"/>
        </w:rPr>
        <w:t xml:space="preserve">(SB </w:t>
      </w:r>
      <w:r>
        <w:rPr>
          <w:sz w:val="24"/>
          <w:szCs w:val="24"/>
        </w:rPr>
        <w:t>406</w:t>
      </w:r>
      <w:r w:rsidRPr="00EB609E">
        <w:rPr>
          <w:sz w:val="24"/>
          <w:szCs w:val="24"/>
        </w:rPr>
        <w:t xml:space="preserve">/HB </w:t>
      </w:r>
      <w:r>
        <w:rPr>
          <w:sz w:val="24"/>
          <w:szCs w:val="24"/>
        </w:rPr>
        <w:t>___</w:t>
      </w:r>
      <w:r w:rsidRPr="00EB609E">
        <w:rPr>
          <w:sz w:val="24"/>
          <w:szCs w:val="24"/>
        </w:rPr>
        <w:t>)</w:t>
      </w:r>
    </w:p>
    <w:p w14:paraId="37FFC166" w14:textId="3BA568C1" w:rsidR="00EB609E" w:rsidRPr="00EB609E" w:rsidRDefault="00EB609E" w:rsidP="00EB609E">
      <w:pPr>
        <w:jc w:val="both"/>
      </w:pPr>
      <w:r w:rsidRPr="00EB609E">
        <w:rPr>
          <w:b/>
          <w:bCs/>
          <w:sz w:val="24"/>
          <w:szCs w:val="24"/>
        </w:rPr>
        <w:t>Sponsors</w:t>
      </w:r>
      <w:r w:rsidRPr="00EB609E">
        <w:rPr>
          <w:sz w:val="24"/>
          <w:szCs w:val="24"/>
        </w:rPr>
        <w:t xml:space="preserve">: Sen. </w:t>
      </w:r>
      <w:r>
        <w:rPr>
          <w:sz w:val="24"/>
          <w:szCs w:val="24"/>
        </w:rPr>
        <w:t xml:space="preserve">Brandes </w:t>
      </w:r>
      <w:r w:rsidRPr="00EB609E">
        <w:rPr>
          <w:sz w:val="24"/>
          <w:szCs w:val="24"/>
        </w:rPr>
        <w:t xml:space="preserve">/ Rep. </w:t>
      </w:r>
      <w:r>
        <w:rPr>
          <w:sz w:val="24"/>
          <w:szCs w:val="24"/>
        </w:rPr>
        <w:t>_____</w:t>
      </w:r>
    </w:p>
    <w:p w14:paraId="69AB2AC3" w14:textId="3212CD1E" w:rsidR="00EB609E" w:rsidRPr="00EB609E" w:rsidRDefault="00EB609E" w:rsidP="00EB609E">
      <w:pPr>
        <w:jc w:val="both"/>
        <w:rPr>
          <w:b/>
          <w:bCs/>
          <w:sz w:val="24"/>
          <w:szCs w:val="24"/>
        </w:rPr>
      </w:pPr>
      <w:r w:rsidRPr="00EB609E">
        <w:rPr>
          <w:b/>
          <w:bCs/>
          <w:sz w:val="24"/>
          <w:szCs w:val="24"/>
        </w:rPr>
        <w:t xml:space="preserve">Summary: </w:t>
      </w:r>
      <w:r w:rsidR="00EC0C6C">
        <w:rPr>
          <w:b/>
          <w:bCs/>
          <w:sz w:val="24"/>
          <w:szCs w:val="24"/>
        </w:rPr>
        <w:t xml:space="preserve">This bill is very </w:t>
      </w:r>
      <w:r w:rsidR="00602F83">
        <w:rPr>
          <w:b/>
          <w:bCs/>
          <w:sz w:val="24"/>
          <w:szCs w:val="24"/>
        </w:rPr>
        <w:t>similar</w:t>
      </w:r>
      <w:r w:rsidR="00EC0C6C">
        <w:rPr>
          <w:b/>
          <w:bCs/>
          <w:sz w:val="24"/>
          <w:szCs w:val="24"/>
        </w:rPr>
        <w:t xml:space="preserve"> to SB 928/HB713 from last session.  Last year, an amendment that addressed our concerns was adopted to the House version.  Neither bill passed their chamber.  SB 406 begins with the original language found in SB 928.</w:t>
      </w:r>
    </w:p>
    <w:p w14:paraId="66946A55" w14:textId="0F1F036F" w:rsidR="00EB609E" w:rsidRPr="00EB609E" w:rsidRDefault="00EB609E" w:rsidP="00EB609E">
      <w:r w:rsidRPr="00EB609E">
        <w:t>The theft of utility services is punishable as provided in Section 812.014, F.S.  Currently under this Section, a person could be convicted of grand theft and a felony of the third degree if the property stolen is valued at several amounts but the lowest amount is $300 or more, but less than $5,000.  This legislation would raise the lowest amount for this conviction from $300 to $1500 which could reduce the number of eligible convictions for theft of utility services.</w:t>
      </w:r>
    </w:p>
    <w:p w14:paraId="66C02381" w14:textId="77777777" w:rsidR="00EB609E" w:rsidRPr="00EB609E" w:rsidRDefault="00EB609E" w:rsidP="00EB609E">
      <w:pPr>
        <w:jc w:val="both"/>
      </w:pPr>
      <w:r w:rsidRPr="00EB609E">
        <w:rPr>
          <w:b/>
          <w:bCs/>
          <w:sz w:val="24"/>
          <w:szCs w:val="24"/>
        </w:rPr>
        <w:t>Committee Assignments:</w:t>
      </w:r>
    </w:p>
    <w:p w14:paraId="741F09E4" w14:textId="6668F2BA" w:rsidR="00EB609E" w:rsidRPr="00EB609E" w:rsidRDefault="00EB609E" w:rsidP="00EB609E">
      <w:pPr>
        <w:jc w:val="both"/>
        <w:rPr>
          <w:sz w:val="24"/>
          <w:szCs w:val="24"/>
        </w:rPr>
      </w:pPr>
      <w:r w:rsidRPr="00EB609E">
        <w:rPr>
          <w:sz w:val="24"/>
          <w:szCs w:val="24"/>
        </w:rPr>
        <w:t xml:space="preserve">SB </w:t>
      </w:r>
      <w:r w:rsidR="002B1E50">
        <w:rPr>
          <w:sz w:val="24"/>
          <w:szCs w:val="24"/>
        </w:rPr>
        <w:t>406</w:t>
      </w:r>
      <w:r w:rsidRPr="00EB609E">
        <w:rPr>
          <w:sz w:val="24"/>
          <w:szCs w:val="24"/>
        </w:rPr>
        <w:t>: Not yet available</w:t>
      </w:r>
    </w:p>
    <w:p w14:paraId="65CB5D99" w14:textId="519A20C3" w:rsidR="00EB609E" w:rsidRPr="00EB609E" w:rsidRDefault="00EB609E" w:rsidP="00EB609E">
      <w:pPr>
        <w:jc w:val="both"/>
      </w:pPr>
      <w:r w:rsidRPr="00EB609E">
        <w:rPr>
          <w:sz w:val="24"/>
          <w:szCs w:val="24"/>
        </w:rPr>
        <w:t xml:space="preserve">HB </w:t>
      </w:r>
      <w:r w:rsidR="002B1E50">
        <w:rPr>
          <w:sz w:val="24"/>
          <w:szCs w:val="24"/>
        </w:rPr>
        <w:t>____</w:t>
      </w:r>
      <w:r w:rsidRPr="00EB609E">
        <w:rPr>
          <w:sz w:val="24"/>
          <w:szCs w:val="24"/>
        </w:rPr>
        <w:t xml:space="preserve">: </w:t>
      </w:r>
    </w:p>
    <w:p w14:paraId="45D29478" w14:textId="77777777" w:rsidR="00EB609E" w:rsidRPr="00EB609E" w:rsidRDefault="00EB609E" w:rsidP="00EB609E">
      <w:pPr>
        <w:jc w:val="both"/>
        <w:rPr>
          <w:b/>
          <w:bCs/>
          <w:sz w:val="28"/>
          <w:szCs w:val="28"/>
        </w:rPr>
      </w:pPr>
      <w:r w:rsidRPr="00EB609E">
        <w:rPr>
          <w:b/>
          <w:bCs/>
          <w:sz w:val="28"/>
          <w:szCs w:val="28"/>
        </w:rPr>
        <w:t>ACTION RECOMMENDED: NEUTRAL</w:t>
      </w:r>
    </w:p>
    <w:p w14:paraId="2428C404" w14:textId="7B763B7A" w:rsidR="00EB609E" w:rsidRPr="009224F0" w:rsidRDefault="009224F0" w:rsidP="009224F0">
      <w:pPr>
        <w:jc w:val="both"/>
        <w:rPr>
          <w:b/>
          <w:bCs/>
          <w:sz w:val="28"/>
          <w:szCs w:val="28"/>
        </w:rPr>
      </w:pPr>
      <w:r>
        <w:rPr>
          <w:b/>
          <w:bCs/>
          <w:sz w:val="28"/>
          <w:szCs w:val="28"/>
        </w:rPr>
        <w:t>Bill Report Location: Monitor</w:t>
      </w:r>
    </w:p>
    <w:p w14:paraId="4AF48C05" w14:textId="77777777" w:rsidR="00EB609E" w:rsidRDefault="00EB609E" w:rsidP="00EB609E">
      <w:pPr>
        <w:rPr>
          <w:b/>
          <w:bCs/>
          <w:sz w:val="32"/>
          <w:szCs w:val="32"/>
          <w:u w:val="single"/>
        </w:rPr>
      </w:pPr>
    </w:p>
    <w:p w14:paraId="22AC68FF" w14:textId="34C75E2F" w:rsidR="00EB609E" w:rsidRDefault="001A3A12" w:rsidP="00EB609E">
      <w:pPr>
        <w:jc w:val="both"/>
        <w:rPr>
          <w:b/>
          <w:bCs/>
          <w:sz w:val="32"/>
          <w:szCs w:val="32"/>
          <w:u w:val="single"/>
        </w:rPr>
      </w:pPr>
      <w:r>
        <w:rPr>
          <w:b/>
          <w:bCs/>
          <w:sz w:val="32"/>
          <w:szCs w:val="32"/>
          <w:u w:val="single"/>
        </w:rPr>
        <w:t>Traffic Offenses</w:t>
      </w:r>
    </w:p>
    <w:p w14:paraId="4B44B58F" w14:textId="6402BC87" w:rsidR="00EB609E" w:rsidRDefault="00EB609E" w:rsidP="00EB609E">
      <w:pPr>
        <w:jc w:val="both"/>
        <w:rPr>
          <w:sz w:val="24"/>
          <w:szCs w:val="24"/>
        </w:rPr>
      </w:pPr>
      <w:r>
        <w:rPr>
          <w:sz w:val="24"/>
          <w:szCs w:val="24"/>
        </w:rPr>
        <w:t xml:space="preserve">(SB </w:t>
      </w:r>
      <w:r w:rsidR="008A0D09">
        <w:rPr>
          <w:sz w:val="24"/>
          <w:szCs w:val="24"/>
        </w:rPr>
        <w:t>158</w:t>
      </w:r>
      <w:r>
        <w:rPr>
          <w:sz w:val="24"/>
          <w:szCs w:val="24"/>
        </w:rPr>
        <w:t xml:space="preserve">/HB </w:t>
      </w:r>
      <w:r w:rsidR="008A0D09">
        <w:rPr>
          <w:sz w:val="24"/>
          <w:szCs w:val="24"/>
        </w:rPr>
        <w:t>71</w:t>
      </w:r>
      <w:r>
        <w:rPr>
          <w:sz w:val="24"/>
          <w:szCs w:val="24"/>
        </w:rPr>
        <w:t>)</w:t>
      </w:r>
    </w:p>
    <w:p w14:paraId="25F60E43" w14:textId="033FF42C" w:rsidR="00EB609E" w:rsidRDefault="00EB609E" w:rsidP="00EB609E">
      <w:pPr>
        <w:jc w:val="both"/>
        <w:rPr>
          <w:sz w:val="24"/>
          <w:szCs w:val="24"/>
        </w:rPr>
      </w:pPr>
      <w:r>
        <w:rPr>
          <w:b/>
          <w:bCs/>
          <w:sz w:val="24"/>
          <w:szCs w:val="24"/>
        </w:rPr>
        <w:t>Sponsors</w:t>
      </w:r>
      <w:r>
        <w:rPr>
          <w:sz w:val="24"/>
          <w:szCs w:val="24"/>
        </w:rPr>
        <w:t xml:space="preserve">: Sen. Baxley /Rep. </w:t>
      </w:r>
      <w:r w:rsidR="008A0D09">
        <w:rPr>
          <w:sz w:val="24"/>
          <w:szCs w:val="24"/>
        </w:rPr>
        <w:t>McClain</w:t>
      </w:r>
    </w:p>
    <w:p w14:paraId="6B8DD59D" w14:textId="77777777" w:rsidR="00EB609E" w:rsidRDefault="00EB609E" w:rsidP="00EB609E">
      <w:pPr>
        <w:jc w:val="both"/>
        <w:rPr>
          <w:b/>
          <w:bCs/>
          <w:sz w:val="24"/>
          <w:szCs w:val="24"/>
        </w:rPr>
      </w:pPr>
      <w:r>
        <w:rPr>
          <w:b/>
          <w:bCs/>
          <w:sz w:val="24"/>
          <w:szCs w:val="24"/>
        </w:rPr>
        <w:t xml:space="preserve">Summary: </w:t>
      </w:r>
    </w:p>
    <w:p w14:paraId="3B48C77F" w14:textId="23A8BDB7" w:rsidR="00EB609E" w:rsidRDefault="00EB609E" w:rsidP="00EB609E">
      <w:pPr>
        <w:jc w:val="both"/>
        <w:rPr>
          <w:sz w:val="24"/>
          <w:szCs w:val="24"/>
        </w:rPr>
      </w:pPr>
      <w:r>
        <w:rPr>
          <w:sz w:val="24"/>
          <w:szCs w:val="24"/>
        </w:rPr>
        <w:t xml:space="preserve">Current law dictates the required driving behavior used when encountering any emergency, sanitation, utility service or wrecker vehicle on any drivable roadway.  </w:t>
      </w:r>
      <w:r w:rsidR="008A0D09">
        <w:rPr>
          <w:sz w:val="24"/>
          <w:szCs w:val="24"/>
        </w:rPr>
        <w:t xml:space="preserve">The legislation amends current statute defining who is considered a vulnerable road user and provides criminal penalties </w:t>
      </w:r>
      <w:r w:rsidR="008A0D09">
        <w:rPr>
          <w:sz w:val="24"/>
          <w:szCs w:val="24"/>
        </w:rPr>
        <w:lastRenderedPageBreak/>
        <w:t>for a person who commits a moving violation that causes serious bodily injury or death of a vulnerable road user.</w:t>
      </w:r>
    </w:p>
    <w:p w14:paraId="721A167F" w14:textId="77777777" w:rsidR="00EB609E" w:rsidRDefault="00EB609E" w:rsidP="00EB609E">
      <w:pPr>
        <w:jc w:val="both"/>
        <w:rPr>
          <w:b/>
          <w:bCs/>
          <w:sz w:val="24"/>
          <w:szCs w:val="24"/>
        </w:rPr>
      </w:pPr>
      <w:r>
        <w:rPr>
          <w:b/>
          <w:bCs/>
          <w:sz w:val="24"/>
          <w:szCs w:val="24"/>
        </w:rPr>
        <w:t>Committee Assignments:</w:t>
      </w:r>
    </w:p>
    <w:p w14:paraId="6DDDEB4A" w14:textId="134562D2" w:rsidR="00EB609E" w:rsidRDefault="00EB609E" w:rsidP="00EB609E">
      <w:pPr>
        <w:jc w:val="both"/>
        <w:rPr>
          <w:sz w:val="24"/>
          <w:szCs w:val="24"/>
        </w:rPr>
      </w:pPr>
      <w:r>
        <w:rPr>
          <w:sz w:val="24"/>
          <w:szCs w:val="24"/>
        </w:rPr>
        <w:t xml:space="preserve">SB </w:t>
      </w:r>
      <w:r w:rsidR="008A0D09">
        <w:rPr>
          <w:sz w:val="24"/>
          <w:szCs w:val="24"/>
        </w:rPr>
        <w:t>158</w:t>
      </w:r>
      <w:r>
        <w:rPr>
          <w:sz w:val="24"/>
          <w:szCs w:val="24"/>
        </w:rPr>
        <w:t xml:space="preserve">: </w:t>
      </w:r>
      <w:r w:rsidR="008A0D09">
        <w:rPr>
          <w:sz w:val="24"/>
          <w:szCs w:val="24"/>
        </w:rPr>
        <w:t>Infrastructure and Security; Appropriations Subcommittee on Criminal and Civil Justice and Appropriations</w:t>
      </w:r>
    </w:p>
    <w:p w14:paraId="7598581C" w14:textId="3403FBBF" w:rsidR="00EB609E" w:rsidRDefault="00EB609E" w:rsidP="00EB609E">
      <w:pPr>
        <w:jc w:val="both"/>
        <w:rPr>
          <w:sz w:val="24"/>
          <w:szCs w:val="24"/>
        </w:rPr>
      </w:pPr>
      <w:r>
        <w:rPr>
          <w:sz w:val="24"/>
          <w:szCs w:val="24"/>
        </w:rPr>
        <w:t xml:space="preserve">HB </w:t>
      </w:r>
      <w:r w:rsidR="008A0D09">
        <w:rPr>
          <w:sz w:val="24"/>
          <w:szCs w:val="24"/>
        </w:rPr>
        <w:t>71</w:t>
      </w:r>
      <w:r>
        <w:rPr>
          <w:sz w:val="24"/>
          <w:szCs w:val="24"/>
        </w:rPr>
        <w:t xml:space="preserve">: </w:t>
      </w:r>
      <w:r w:rsidR="008A0D09">
        <w:rPr>
          <w:sz w:val="24"/>
          <w:szCs w:val="24"/>
        </w:rPr>
        <w:t>Transportation &amp; Infrastructure Subcommittee; Criminal Justice Subcommittee; State Affairs Committee</w:t>
      </w:r>
    </w:p>
    <w:p w14:paraId="70792F77" w14:textId="5FDE924A" w:rsidR="00EB609E" w:rsidRDefault="00EB609E" w:rsidP="00EB609E">
      <w:pPr>
        <w:jc w:val="both"/>
        <w:rPr>
          <w:b/>
          <w:bCs/>
          <w:sz w:val="28"/>
          <w:szCs w:val="28"/>
        </w:rPr>
      </w:pPr>
      <w:r>
        <w:rPr>
          <w:b/>
          <w:bCs/>
          <w:sz w:val="28"/>
          <w:szCs w:val="28"/>
        </w:rPr>
        <w:t>ACTION RECOMMENDED: NEUTRAL</w:t>
      </w:r>
    </w:p>
    <w:p w14:paraId="734DF350" w14:textId="1B9407B7" w:rsidR="009224F0" w:rsidRDefault="009224F0" w:rsidP="009224F0">
      <w:pPr>
        <w:jc w:val="both"/>
        <w:rPr>
          <w:b/>
          <w:bCs/>
          <w:sz w:val="28"/>
          <w:szCs w:val="28"/>
        </w:rPr>
      </w:pPr>
      <w:r>
        <w:rPr>
          <w:b/>
          <w:bCs/>
          <w:sz w:val="28"/>
          <w:szCs w:val="28"/>
        </w:rPr>
        <w:t>Bill Report Location: Tracking</w:t>
      </w:r>
    </w:p>
    <w:p w14:paraId="741EEDD3" w14:textId="70204679" w:rsidR="00EB609E" w:rsidRDefault="00EB609E" w:rsidP="00EB609E">
      <w:pPr>
        <w:rPr>
          <w:b/>
          <w:bCs/>
          <w:sz w:val="32"/>
          <w:szCs w:val="32"/>
          <w:u w:val="single"/>
        </w:rPr>
      </w:pPr>
    </w:p>
    <w:p w14:paraId="2BC0E33A" w14:textId="486D461B" w:rsidR="00EC0C6C" w:rsidRDefault="00EC0C6C" w:rsidP="00EC0C6C">
      <w:pPr>
        <w:jc w:val="both"/>
        <w:rPr>
          <w:b/>
          <w:bCs/>
          <w:sz w:val="32"/>
          <w:szCs w:val="32"/>
          <w:u w:val="single"/>
        </w:rPr>
      </w:pPr>
      <w:r>
        <w:rPr>
          <w:b/>
          <w:bCs/>
          <w:sz w:val="32"/>
          <w:szCs w:val="32"/>
          <w:u w:val="single"/>
        </w:rPr>
        <w:t>Public Meetings / Local Government Utility</w:t>
      </w:r>
    </w:p>
    <w:p w14:paraId="21D9ECDB" w14:textId="002E1719" w:rsidR="00EC0C6C" w:rsidRDefault="00EC0C6C" w:rsidP="00EC0C6C">
      <w:pPr>
        <w:jc w:val="both"/>
        <w:rPr>
          <w:sz w:val="24"/>
          <w:szCs w:val="24"/>
        </w:rPr>
      </w:pPr>
      <w:r>
        <w:rPr>
          <w:sz w:val="24"/>
          <w:szCs w:val="24"/>
        </w:rPr>
        <w:t>(SB 450/HB 327)</w:t>
      </w:r>
    </w:p>
    <w:p w14:paraId="40605DA8" w14:textId="6F27D75F" w:rsidR="00EC0C6C" w:rsidRDefault="00EC0C6C" w:rsidP="00EC0C6C">
      <w:pPr>
        <w:jc w:val="both"/>
        <w:rPr>
          <w:sz w:val="24"/>
          <w:szCs w:val="24"/>
        </w:rPr>
      </w:pPr>
      <w:r>
        <w:rPr>
          <w:b/>
          <w:bCs/>
          <w:sz w:val="24"/>
          <w:szCs w:val="24"/>
        </w:rPr>
        <w:t>Sponsors</w:t>
      </w:r>
      <w:r>
        <w:rPr>
          <w:sz w:val="24"/>
          <w:szCs w:val="24"/>
        </w:rPr>
        <w:t xml:space="preserve">: Sen. Gibson /Rep. </w:t>
      </w:r>
      <w:r w:rsidR="009A6863">
        <w:rPr>
          <w:sz w:val="24"/>
          <w:szCs w:val="24"/>
        </w:rPr>
        <w:t>Davis</w:t>
      </w:r>
    </w:p>
    <w:p w14:paraId="4BF5D68A" w14:textId="77777777" w:rsidR="00EC0C6C" w:rsidRDefault="00EC0C6C" w:rsidP="00EC0C6C">
      <w:pPr>
        <w:jc w:val="both"/>
        <w:rPr>
          <w:b/>
          <w:bCs/>
          <w:sz w:val="24"/>
          <w:szCs w:val="24"/>
        </w:rPr>
      </w:pPr>
      <w:r>
        <w:rPr>
          <w:b/>
          <w:bCs/>
          <w:sz w:val="24"/>
          <w:szCs w:val="24"/>
        </w:rPr>
        <w:t xml:space="preserve">Summary: </w:t>
      </w:r>
    </w:p>
    <w:p w14:paraId="6DD55454" w14:textId="2FF64AC1" w:rsidR="009A6863" w:rsidRDefault="009A6863" w:rsidP="00EC0C6C">
      <w:pPr>
        <w:jc w:val="both"/>
        <w:rPr>
          <w:sz w:val="24"/>
          <w:szCs w:val="24"/>
        </w:rPr>
      </w:pPr>
      <w:r>
        <w:rPr>
          <w:sz w:val="24"/>
          <w:szCs w:val="24"/>
        </w:rPr>
        <w:t xml:space="preserve">The legislation creates a public meeting requirements exemption for the portion of a meeting held by a utility owned and operated by a unit of local government when discussing </w:t>
      </w:r>
      <w:r w:rsidR="006F4ED3">
        <w:rPr>
          <w:sz w:val="24"/>
          <w:szCs w:val="24"/>
        </w:rPr>
        <w:t xml:space="preserve">the </w:t>
      </w:r>
      <w:r>
        <w:rPr>
          <w:sz w:val="24"/>
          <w:szCs w:val="24"/>
        </w:rPr>
        <w:t xml:space="preserve">security of the technology, processes or practices of certain utilities. </w:t>
      </w:r>
      <w:r w:rsidR="006F4ED3">
        <w:rPr>
          <w:sz w:val="24"/>
          <w:szCs w:val="24"/>
        </w:rPr>
        <w:t xml:space="preserve">The exemption covers any portion of the </w:t>
      </w:r>
      <w:r w:rsidR="009224F0">
        <w:rPr>
          <w:sz w:val="24"/>
          <w:szCs w:val="24"/>
        </w:rPr>
        <w:t>meeting regarding</w:t>
      </w:r>
      <w:r w:rsidR="006F4ED3">
        <w:rPr>
          <w:sz w:val="24"/>
          <w:szCs w:val="24"/>
        </w:rPr>
        <w:t xml:space="preserve"> the</w:t>
      </w:r>
      <w:r>
        <w:rPr>
          <w:sz w:val="24"/>
          <w:szCs w:val="24"/>
        </w:rPr>
        <w:t xml:space="preserve"> vulnerabilities within the system </w:t>
      </w:r>
      <w:r w:rsidR="006F4ED3">
        <w:rPr>
          <w:sz w:val="24"/>
          <w:szCs w:val="24"/>
        </w:rPr>
        <w:t>that could make it susceptible to attacks or expose the utility service to disruption or damage.</w:t>
      </w:r>
      <w:r>
        <w:rPr>
          <w:sz w:val="24"/>
          <w:szCs w:val="24"/>
        </w:rPr>
        <w:t xml:space="preserve">  </w:t>
      </w:r>
    </w:p>
    <w:p w14:paraId="3D28363C" w14:textId="15F18704" w:rsidR="00EC0C6C" w:rsidRDefault="00EC0C6C" w:rsidP="00EC0C6C">
      <w:pPr>
        <w:jc w:val="both"/>
        <w:rPr>
          <w:b/>
          <w:bCs/>
          <w:sz w:val="24"/>
          <w:szCs w:val="24"/>
        </w:rPr>
      </w:pPr>
      <w:r>
        <w:rPr>
          <w:b/>
          <w:bCs/>
          <w:sz w:val="24"/>
          <w:szCs w:val="24"/>
        </w:rPr>
        <w:t>Committee Assignments:</w:t>
      </w:r>
    </w:p>
    <w:p w14:paraId="4AB56500" w14:textId="54F0B5DC" w:rsidR="00EC0C6C" w:rsidRDefault="00EC0C6C" w:rsidP="00EC0C6C">
      <w:pPr>
        <w:jc w:val="both"/>
        <w:rPr>
          <w:sz w:val="24"/>
          <w:szCs w:val="24"/>
        </w:rPr>
      </w:pPr>
      <w:r>
        <w:rPr>
          <w:sz w:val="24"/>
          <w:szCs w:val="24"/>
        </w:rPr>
        <w:t xml:space="preserve">SB </w:t>
      </w:r>
      <w:r w:rsidR="009A6863">
        <w:rPr>
          <w:sz w:val="24"/>
          <w:szCs w:val="24"/>
        </w:rPr>
        <w:t>450</w:t>
      </w:r>
      <w:r>
        <w:rPr>
          <w:sz w:val="24"/>
          <w:szCs w:val="24"/>
        </w:rPr>
        <w:t xml:space="preserve">: </w:t>
      </w:r>
    </w:p>
    <w:p w14:paraId="2BF09C99" w14:textId="7F9D5320" w:rsidR="00EC0C6C" w:rsidRDefault="00EC0C6C" w:rsidP="00EC0C6C">
      <w:pPr>
        <w:jc w:val="both"/>
        <w:rPr>
          <w:sz w:val="24"/>
          <w:szCs w:val="24"/>
        </w:rPr>
      </w:pPr>
      <w:r>
        <w:rPr>
          <w:sz w:val="24"/>
          <w:szCs w:val="24"/>
        </w:rPr>
        <w:t xml:space="preserve">HB </w:t>
      </w:r>
      <w:r w:rsidR="009A6863">
        <w:rPr>
          <w:sz w:val="24"/>
          <w:szCs w:val="24"/>
        </w:rPr>
        <w:t>327</w:t>
      </w:r>
      <w:r>
        <w:rPr>
          <w:sz w:val="24"/>
          <w:szCs w:val="24"/>
        </w:rPr>
        <w:t xml:space="preserve">: </w:t>
      </w:r>
      <w:r w:rsidR="009A6863">
        <w:rPr>
          <w:sz w:val="24"/>
          <w:szCs w:val="24"/>
        </w:rPr>
        <w:t xml:space="preserve">Energy </w:t>
      </w:r>
      <w:r w:rsidR="009B1D80">
        <w:rPr>
          <w:sz w:val="24"/>
          <w:szCs w:val="24"/>
        </w:rPr>
        <w:t>&amp;</w:t>
      </w:r>
      <w:r w:rsidR="009A6863">
        <w:rPr>
          <w:sz w:val="24"/>
          <w:szCs w:val="24"/>
        </w:rPr>
        <w:t xml:space="preserve"> Utilities Subcommittee; Oversight, Transparency and Public Management Subcommittee, Commerce Committee</w:t>
      </w:r>
    </w:p>
    <w:p w14:paraId="48B46D20" w14:textId="107C37D4" w:rsidR="00EC0C6C" w:rsidRDefault="00EC0C6C" w:rsidP="00EC0C6C">
      <w:pPr>
        <w:jc w:val="both"/>
        <w:rPr>
          <w:b/>
          <w:bCs/>
          <w:sz w:val="28"/>
          <w:szCs w:val="28"/>
        </w:rPr>
      </w:pPr>
      <w:r>
        <w:rPr>
          <w:b/>
          <w:bCs/>
          <w:sz w:val="28"/>
          <w:szCs w:val="28"/>
        </w:rPr>
        <w:t>ACTION RECOMMENDED: NEUTRAL</w:t>
      </w:r>
    </w:p>
    <w:p w14:paraId="56C00F29" w14:textId="744AB436" w:rsidR="009224F0" w:rsidRDefault="009224F0" w:rsidP="009224F0">
      <w:pPr>
        <w:jc w:val="both"/>
        <w:rPr>
          <w:b/>
          <w:bCs/>
          <w:sz w:val="28"/>
          <w:szCs w:val="28"/>
        </w:rPr>
      </w:pPr>
      <w:r>
        <w:rPr>
          <w:b/>
          <w:bCs/>
          <w:sz w:val="28"/>
          <w:szCs w:val="28"/>
        </w:rPr>
        <w:t>Bill Report Location: Tracking</w:t>
      </w:r>
    </w:p>
    <w:p w14:paraId="4CCB52C5" w14:textId="13769C44" w:rsidR="00EC0C6C" w:rsidRDefault="00EC0C6C" w:rsidP="00EC0C6C">
      <w:pPr>
        <w:rPr>
          <w:b/>
          <w:bCs/>
          <w:sz w:val="32"/>
          <w:szCs w:val="32"/>
          <w:u w:val="single"/>
        </w:rPr>
      </w:pPr>
    </w:p>
    <w:p w14:paraId="18EFFF33" w14:textId="7029D087" w:rsidR="006F4ED3" w:rsidRDefault="006F4ED3" w:rsidP="006F4ED3">
      <w:pPr>
        <w:jc w:val="both"/>
        <w:rPr>
          <w:b/>
          <w:bCs/>
          <w:sz w:val="32"/>
          <w:szCs w:val="32"/>
          <w:u w:val="single"/>
        </w:rPr>
      </w:pPr>
      <w:r>
        <w:rPr>
          <w:b/>
          <w:bCs/>
          <w:sz w:val="32"/>
          <w:szCs w:val="32"/>
          <w:u w:val="single"/>
        </w:rPr>
        <w:t>Underground Facility Damage Prevention and Safety</w:t>
      </w:r>
    </w:p>
    <w:p w14:paraId="4A1E0BDD" w14:textId="67FD414A" w:rsidR="006F4ED3" w:rsidRDefault="006F4ED3" w:rsidP="006F4ED3">
      <w:pPr>
        <w:jc w:val="both"/>
        <w:rPr>
          <w:sz w:val="24"/>
          <w:szCs w:val="24"/>
        </w:rPr>
      </w:pPr>
      <w:r>
        <w:rPr>
          <w:sz w:val="24"/>
          <w:szCs w:val="24"/>
        </w:rPr>
        <w:t xml:space="preserve">(SB ____/HB </w:t>
      </w:r>
      <w:r w:rsidR="009B1D80">
        <w:rPr>
          <w:sz w:val="24"/>
          <w:szCs w:val="24"/>
        </w:rPr>
        <w:t>263</w:t>
      </w:r>
      <w:r>
        <w:rPr>
          <w:sz w:val="24"/>
          <w:szCs w:val="24"/>
        </w:rPr>
        <w:t>)</w:t>
      </w:r>
    </w:p>
    <w:p w14:paraId="7DB9E9EF" w14:textId="1B7F04D2" w:rsidR="006F4ED3" w:rsidRDefault="006F4ED3" w:rsidP="006F4ED3">
      <w:pPr>
        <w:jc w:val="both"/>
        <w:rPr>
          <w:sz w:val="24"/>
          <w:szCs w:val="24"/>
        </w:rPr>
      </w:pPr>
      <w:r>
        <w:rPr>
          <w:b/>
          <w:bCs/>
          <w:sz w:val="24"/>
          <w:szCs w:val="24"/>
        </w:rPr>
        <w:t>Sponsors</w:t>
      </w:r>
      <w:r>
        <w:rPr>
          <w:sz w:val="24"/>
          <w:szCs w:val="24"/>
        </w:rPr>
        <w:t xml:space="preserve">: Sen. </w:t>
      </w:r>
      <w:r w:rsidR="009B1D80">
        <w:rPr>
          <w:sz w:val="24"/>
          <w:szCs w:val="24"/>
        </w:rPr>
        <w:t>____</w:t>
      </w:r>
      <w:r>
        <w:rPr>
          <w:sz w:val="24"/>
          <w:szCs w:val="24"/>
        </w:rPr>
        <w:t xml:space="preserve"> /Rep. </w:t>
      </w:r>
      <w:r w:rsidR="009B1D80">
        <w:rPr>
          <w:sz w:val="24"/>
          <w:szCs w:val="24"/>
        </w:rPr>
        <w:t>Payne</w:t>
      </w:r>
    </w:p>
    <w:p w14:paraId="60506F0E" w14:textId="77777777" w:rsidR="006F4ED3" w:rsidRDefault="006F4ED3" w:rsidP="006F4ED3">
      <w:pPr>
        <w:jc w:val="both"/>
        <w:rPr>
          <w:b/>
          <w:bCs/>
          <w:sz w:val="24"/>
          <w:szCs w:val="24"/>
        </w:rPr>
      </w:pPr>
      <w:r>
        <w:rPr>
          <w:b/>
          <w:bCs/>
          <w:sz w:val="24"/>
          <w:szCs w:val="24"/>
        </w:rPr>
        <w:t xml:space="preserve">Summary: </w:t>
      </w:r>
    </w:p>
    <w:p w14:paraId="08C16865" w14:textId="4ABA687B" w:rsidR="006F4ED3" w:rsidRDefault="009B1D80" w:rsidP="006F4ED3">
      <w:pPr>
        <w:jc w:val="both"/>
        <w:rPr>
          <w:sz w:val="24"/>
          <w:szCs w:val="24"/>
        </w:rPr>
      </w:pPr>
      <w:r>
        <w:rPr>
          <w:sz w:val="24"/>
          <w:szCs w:val="24"/>
        </w:rPr>
        <w:t xml:space="preserve">The legislation creates the Underground Facility Damage Prevention Review panel to receive and respond to complaints of damage to underground facilities.  The panel will consist of nine members; one from the electric utility industry. The legislation outlines the procedure for complaints to be filed, the response time for parties to respond to the </w:t>
      </w:r>
      <w:r w:rsidR="009224F0">
        <w:rPr>
          <w:sz w:val="24"/>
          <w:szCs w:val="24"/>
        </w:rPr>
        <w:t>complaint, and</w:t>
      </w:r>
      <w:r>
        <w:rPr>
          <w:sz w:val="24"/>
          <w:szCs w:val="24"/>
        </w:rPr>
        <w:t xml:space="preserve"> penalties allowable by the panel.  It also outlines the appeals process through DOAH. The legislation sets penalties for anyone knowingly removing or damaging permanent underground facility markers. </w:t>
      </w:r>
    </w:p>
    <w:p w14:paraId="7ECEAB47" w14:textId="77777777" w:rsidR="006F4ED3" w:rsidRDefault="006F4ED3" w:rsidP="006F4ED3">
      <w:pPr>
        <w:jc w:val="both"/>
        <w:rPr>
          <w:b/>
          <w:bCs/>
          <w:sz w:val="24"/>
          <w:szCs w:val="24"/>
        </w:rPr>
      </w:pPr>
      <w:r>
        <w:rPr>
          <w:b/>
          <w:bCs/>
          <w:sz w:val="24"/>
          <w:szCs w:val="24"/>
        </w:rPr>
        <w:t>Committee Assignments:</w:t>
      </w:r>
    </w:p>
    <w:p w14:paraId="598DB2A9" w14:textId="0D726930" w:rsidR="006F4ED3" w:rsidRDefault="006F4ED3" w:rsidP="006F4ED3">
      <w:pPr>
        <w:jc w:val="both"/>
        <w:rPr>
          <w:sz w:val="24"/>
          <w:szCs w:val="24"/>
        </w:rPr>
      </w:pPr>
      <w:r>
        <w:rPr>
          <w:sz w:val="24"/>
          <w:szCs w:val="24"/>
        </w:rPr>
        <w:t xml:space="preserve">SB </w:t>
      </w:r>
      <w:r w:rsidR="009B1D80">
        <w:rPr>
          <w:sz w:val="24"/>
          <w:szCs w:val="24"/>
        </w:rPr>
        <w:t>__:</w:t>
      </w:r>
    </w:p>
    <w:p w14:paraId="2C0BDE94" w14:textId="0C73F3EE" w:rsidR="006F4ED3" w:rsidRDefault="006F4ED3" w:rsidP="006F4ED3">
      <w:pPr>
        <w:jc w:val="both"/>
        <w:rPr>
          <w:sz w:val="24"/>
          <w:szCs w:val="24"/>
        </w:rPr>
      </w:pPr>
      <w:r>
        <w:rPr>
          <w:sz w:val="24"/>
          <w:szCs w:val="24"/>
        </w:rPr>
        <w:t xml:space="preserve">HB </w:t>
      </w:r>
      <w:r w:rsidR="009B1D80">
        <w:rPr>
          <w:sz w:val="24"/>
          <w:szCs w:val="24"/>
        </w:rPr>
        <w:t>263</w:t>
      </w:r>
      <w:r>
        <w:rPr>
          <w:sz w:val="24"/>
          <w:szCs w:val="24"/>
        </w:rPr>
        <w:t xml:space="preserve">: </w:t>
      </w:r>
      <w:r w:rsidR="009B1D80">
        <w:rPr>
          <w:sz w:val="24"/>
          <w:szCs w:val="24"/>
        </w:rPr>
        <w:t>Energy &amp; Utilities Subcommittee; Government Operations &amp; Technology Appropriations Subcommittee; Commerce Committee</w:t>
      </w:r>
    </w:p>
    <w:p w14:paraId="5E669DCB" w14:textId="21128D02" w:rsidR="006F4ED3" w:rsidRDefault="006F4ED3" w:rsidP="006F4ED3">
      <w:pPr>
        <w:jc w:val="both"/>
        <w:rPr>
          <w:b/>
          <w:bCs/>
          <w:sz w:val="28"/>
          <w:szCs w:val="28"/>
        </w:rPr>
      </w:pPr>
      <w:r>
        <w:rPr>
          <w:b/>
          <w:bCs/>
          <w:sz w:val="28"/>
          <w:szCs w:val="28"/>
        </w:rPr>
        <w:t>ACTION RECOMMENDED: NEUTRAL</w:t>
      </w:r>
    </w:p>
    <w:p w14:paraId="3EAA35AF" w14:textId="442195D3" w:rsidR="009224F0" w:rsidRDefault="009224F0" w:rsidP="009224F0">
      <w:pPr>
        <w:jc w:val="both"/>
        <w:rPr>
          <w:b/>
          <w:bCs/>
          <w:sz w:val="28"/>
          <w:szCs w:val="28"/>
        </w:rPr>
      </w:pPr>
      <w:r>
        <w:rPr>
          <w:b/>
          <w:bCs/>
          <w:sz w:val="28"/>
          <w:szCs w:val="28"/>
        </w:rPr>
        <w:lastRenderedPageBreak/>
        <w:t>Bill Report Location: Tracking</w:t>
      </w:r>
    </w:p>
    <w:p w14:paraId="5FB85BE4" w14:textId="77777777" w:rsidR="009224F0" w:rsidRDefault="009224F0" w:rsidP="006F4ED3">
      <w:pPr>
        <w:jc w:val="both"/>
        <w:rPr>
          <w:b/>
          <w:bCs/>
          <w:sz w:val="28"/>
          <w:szCs w:val="28"/>
        </w:rPr>
      </w:pPr>
    </w:p>
    <w:p w14:paraId="21C06045" w14:textId="77777777" w:rsidR="006F4ED3" w:rsidRDefault="006F4ED3" w:rsidP="006F4ED3">
      <w:pPr>
        <w:rPr>
          <w:b/>
          <w:bCs/>
          <w:sz w:val="32"/>
          <w:szCs w:val="32"/>
          <w:u w:val="single"/>
        </w:rPr>
      </w:pPr>
    </w:p>
    <w:p w14:paraId="4855A6E2" w14:textId="77777777" w:rsidR="006F4ED3" w:rsidRDefault="006F4ED3" w:rsidP="00EC0C6C">
      <w:pPr>
        <w:rPr>
          <w:b/>
          <w:bCs/>
          <w:sz w:val="32"/>
          <w:szCs w:val="32"/>
          <w:u w:val="single"/>
        </w:rPr>
      </w:pPr>
    </w:p>
    <w:p w14:paraId="213C922F" w14:textId="77777777" w:rsidR="00EC0C6C" w:rsidRDefault="00EC0C6C" w:rsidP="00EB609E">
      <w:pPr>
        <w:rPr>
          <w:b/>
          <w:bCs/>
          <w:sz w:val="32"/>
          <w:szCs w:val="32"/>
          <w:u w:val="single"/>
        </w:rPr>
      </w:pPr>
    </w:p>
    <w:sectPr w:rsidR="00EC0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09E"/>
    <w:rsid w:val="0000151F"/>
    <w:rsid w:val="00076436"/>
    <w:rsid w:val="001A3A12"/>
    <w:rsid w:val="002B1E50"/>
    <w:rsid w:val="0035123A"/>
    <w:rsid w:val="005B7C7B"/>
    <w:rsid w:val="00602F83"/>
    <w:rsid w:val="006F30D0"/>
    <w:rsid w:val="006F4ED3"/>
    <w:rsid w:val="00747E01"/>
    <w:rsid w:val="008A0D09"/>
    <w:rsid w:val="009224F0"/>
    <w:rsid w:val="009A6863"/>
    <w:rsid w:val="009B0D42"/>
    <w:rsid w:val="009B1D80"/>
    <w:rsid w:val="009D1815"/>
    <w:rsid w:val="00A46AE6"/>
    <w:rsid w:val="00B61F85"/>
    <w:rsid w:val="00EB609E"/>
    <w:rsid w:val="00EC0C6C"/>
    <w:rsid w:val="00EF1EAC"/>
    <w:rsid w:val="00F93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10C17"/>
  <w15:chartTrackingRefBased/>
  <w15:docId w15:val="{8C81A204-EEEC-4BBA-BBB3-0BBE139B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609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609E"/>
    <w:rPr>
      <w:color w:val="0563C1"/>
      <w:u w:val="single"/>
    </w:rPr>
  </w:style>
  <w:style w:type="character" w:styleId="UnresolvedMention">
    <w:name w:val="Unresolved Mention"/>
    <w:basedOn w:val="DefaultParagraphFont"/>
    <w:uiPriority w:val="99"/>
    <w:semiHidden/>
    <w:unhideWhenUsed/>
    <w:rsid w:val="00747E01"/>
    <w:rPr>
      <w:color w:val="605E5C"/>
      <w:shd w:val="clear" w:color="auto" w:fill="E1DFDD"/>
    </w:rPr>
  </w:style>
  <w:style w:type="character" w:styleId="FollowedHyperlink">
    <w:name w:val="FollowedHyperlink"/>
    <w:basedOn w:val="DefaultParagraphFont"/>
    <w:uiPriority w:val="99"/>
    <w:semiHidden/>
    <w:unhideWhenUsed/>
    <w:rsid w:val="00747E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240205">
      <w:bodyDiv w:val="1"/>
      <w:marLeft w:val="0"/>
      <w:marRight w:val="0"/>
      <w:marTop w:val="0"/>
      <w:marBottom w:val="0"/>
      <w:divBdr>
        <w:top w:val="none" w:sz="0" w:space="0" w:color="auto"/>
        <w:left w:val="none" w:sz="0" w:space="0" w:color="auto"/>
        <w:bottom w:val="none" w:sz="0" w:space="0" w:color="auto"/>
        <w:right w:val="none" w:sz="0" w:space="0" w:color="auto"/>
      </w:divBdr>
    </w:div>
    <w:div w:id="738751534">
      <w:bodyDiv w:val="1"/>
      <w:marLeft w:val="0"/>
      <w:marRight w:val="0"/>
      <w:marTop w:val="0"/>
      <w:marBottom w:val="0"/>
      <w:divBdr>
        <w:top w:val="none" w:sz="0" w:space="0" w:color="auto"/>
        <w:left w:val="none" w:sz="0" w:space="0" w:color="auto"/>
        <w:bottom w:val="none" w:sz="0" w:space="0" w:color="auto"/>
        <w:right w:val="none" w:sz="0" w:space="0" w:color="auto"/>
      </w:divBdr>
    </w:div>
    <w:div w:id="147452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floridachannel.org/videos/1-23-19-house-energy-utilities-subcommittee/" TargetMode="External"/><Relationship Id="rId5" Type="http://schemas.openxmlformats.org/officeDocument/2006/relationships/hyperlink" Target="https://floridapolitics.com/archives/286430-business-groups-sound-off-on-utility-ballot-proposal" TargetMode="External"/><Relationship Id="rId4" Type="http://schemas.openxmlformats.org/officeDocument/2006/relationships/hyperlink" Target="https://www.miamiherald.com/news/politics-government/state-politics/article22500469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1014</Words>
  <Characters>5781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Carter</dc:creator>
  <cp:keywords/>
  <dc:description/>
  <cp:lastModifiedBy>Allison Carter</cp:lastModifiedBy>
  <cp:revision>2</cp:revision>
  <dcterms:created xsi:type="dcterms:W3CDTF">2019-01-28T15:52:00Z</dcterms:created>
  <dcterms:modified xsi:type="dcterms:W3CDTF">2019-01-28T15:52:00Z</dcterms:modified>
</cp:coreProperties>
</file>