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95" w:rsidRPr="005323C1" w:rsidRDefault="00537B95" w:rsidP="00537B95">
      <w:pPr>
        <w:pStyle w:val="Title"/>
        <w:rPr>
          <w:rFonts w:ascii="Times New Roman" w:hAnsi="Times New Roman" w:cs="Times New Roman"/>
        </w:rPr>
      </w:pPr>
      <w:bookmarkStart w:id="0" w:name="_GoBack"/>
      <w:r w:rsidRPr="005323C1">
        <w:rPr>
          <w:rFonts w:ascii="Times New Roman" w:hAnsi="Times New Roman" w:cs="Times New Roman"/>
        </w:rPr>
        <w:t>FACT SHEET</w:t>
      </w:r>
    </w:p>
    <w:p w:rsidR="00537B95" w:rsidRPr="005323C1" w:rsidRDefault="00537B95" w:rsidP="00537B95">
      <w:pPr>
        <w:pStyle w:val="Title"/>
        <w:rPr>
          <w:rFonts w:ascii="Times New Roman" w:hAnsi="Times New Roman" w:cs="Times New Roman"/>
        </w:rPr>
      </w:pPr>
      <w:r w:rsidRPr="005323C1">
        <w:rPr>
          <w:rFonts w:ascii="Times New Roman" w:hAnsi="Times New Roman" w:cs="Times New Roman"/>
        </w:rPr>
        <w:t xml:space="preserve">Review of Standards of Performance for Greenhouse Gas Emissions from New, Modified, </w:t>
      </w:r>
      <w:r w:rsidRPr="005323C1">
        <w:rPr>
          <w:rFonts w:ascii="Times New Roman" w:hAnsi="Times New Roman" w:cs="Times New Roman"/>
        </w:rPr>
        <w:br/>
        <w:t>and Reconstructed Stationary Sources: Electric Utility Generating Units</w:t>
      </w:r>
    </w:p>
    <w:p w:rsidR="00537B95" w:rsidRPr="005323C1" w:rsidRDefault="00537B95" w:rsidP="00537B95">
      <w:pPr>
        <w:pStyle w:val="Heading1"/>
        <w:rPr>
          <w:rFonts w:ascii="Times New Roman" w:hAnsi="Times New Roman" w:cs="Times New Roman"/>
        </w:rPr>
      </w:pPr>
      <w:r w:rsidRPr="005323C1">
        <w:rPr>
          <w:rFonts w:ascii="Times New Roman" w:hAnsi="Times New Roman" w:cs="Times New Roman"/>
        </w:rPr>
        <w:br/>
        <w:t>Action</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 xml:space="preserve">On December 6, 2018, EPA proposed </w:t>
      </w:r>
      <w:bookmarkStart w:id="1" w:name="_Hlk516133731"/>
      <w:r w:rsidRPr="005323C1">
        <w:rPr>
          <w:rFonts w:ascii="Times New Roman" w:hAnsi="Times New Roman" w:cs="Times New Roman"/>
          <w:szCs w:val="24"/>
        </w:rPr>
        <w:t>revisions to the greenhouse gas standards for new, modified, and reconstructed coal-fired electric utility generating units (EGUs), commonly called power plants.</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The agency is proposing to revise the determination of what constitutes the “standards of performance” that reflect the “best system of emission reduction (BSER) … adequately demonstrated.”</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This revised BSER would replace EPA’s 2015 determination that partial carbon capture and storage technology was the BSER for new coal units. The primary reasons for this proposed revision are the high costs and limited geographic availability of CCS.</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For newly constructed power plants, EPA is proposing limits for carbon dioxide (CO</w:t>
      </w:r>
      <w:r w:rsidRPr="005323C1">
        <w:rPr>
          <w:rFonts w:ascii="Times New Roman" w:hAnsi="Times New Roman" w:cs="Times New Roman"/>
          <w:szCs w:val="24"/>
          <w:vertAlign w:val="subscript"/>
        </w:rPr>
        <w:t>2</w:t>
      </w:r>
      <w:r w:rsidRPr="005323C1">
        <w:rPr>
          <w:rFonts w:ascii="Times New Roman" w:hAnsi="Times New Roman" w:cs="Times New Roman"/>
          <w:szCs w:val="24"/>
        </w:rPr>
        <w:t>) emissions based on the most efficient demonstrated steam cycle in combination with the best operating practices.</w:t>
      </w:r>
    </w:p>
    <w:p w:rsidR="00537B95" w:rsidRPr="005323C1" w:rsidRDefault="00537B95" w:rsidP="00537B95">
      <w:pPr>
        <w:pStyle w:val="ListParagraph"/>
        <w:numPr>
          <w:ilvl w:val="1"/>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For large units, the BSER is proposed to be super-critical steam conditions, and if revised, the emission rate will be 1,900 pounds of CO</w:t>
      </w:r>
      <w:r w:rsidRPr="005323C1">
        <w:rPr>
          <w:rFonts w:ascii="Times New Roman" w:hAnsi="Times New Roman" w:cs="Times New Roman"/>
          <w:szCs w:val="24"/>
          <w:vertAlign w:val="subscript"/>
        </w:rPr>
        <w:t>2</w:t>
      </w:r>
      <w:r w:rsidRPr="005323C1">
        <w:rPr>
          <w:rFonts w:ascii="Times New Roman" w:hAnsi="Times New Roman" w:cs="Times New Roman"/>
          <w:szCs w:val="24"/>
        </w:rPr>
        <w:t xml:space="preserve"> per megawatt-hour on a gross output basis (lb CO</w:t>
      </w:r>
      <w:r w:rsidRPr="005323C1">
        <w:rPr>
          <w:rFonts w:ascii="Times New Roman" w:hAnsi="Times New Roman" w:cs="Times New Roman"/>
          <w:szCs w:val="24"/>
          <w:vertAlign w:val="subscript"/>
        </w:rPr>
        <w:t>2</w:t>
      </w:r>
      <w:r w:rsidRPr="005323C1">
        <w:rPr>
          <w:rFonts w:ascii="Times New Roman" w:hAnsi="Times New Roman" w:cs="Times New Roman"/>
          <w:szCs w:val="24"/>
        </w:rPr>
        <w:t>/MWh-gross).</w:t>
      </w:r>
    </w:p>
    <w:p w:rsidR="00537B95" w:rsidRPr="005323C1" w:rsidRDefault="00537B95" w:rsidP="00537B95">
      <w:pPr>
        <w:pStyle w:val="ListParagraph"/>
        <w:numPr>
          <w:ilvl w:val="1"/>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For small units, the BSER is proposed to be subcritical steam conditions, and if revised, the emission rate will be 2,000 lb CO</w:t>
      </w:r>
      <w:r w:rsidRPr="005323C1">
        <w:rPr>
          <w:rFonts w:ascii="Times New Roman" w:hAnsi="Times New Roman" w:cs="Times New Roman"/>
          <w:szCs w:val="24"/>
          <w:vertAlign w:val="subscript"/>
        </w:rPr>
        <w:t>2</w:t>
      </w:r>
      <w:r w:rsidRPr="005323C1">
        <w:rPr>
          <w:rFonts w:ascii="Times New Roman" w:hAnsi="Times New Roman" w:cs="Times New Roman"/>
          <w:szCs w:val="24"/>
        </w:rPr>
        <w:t>/MWh-gross.</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EPA also is proposing separate standards of performance for newly constructed and reconstructed coal refuse-fired units.</w:t>
      </w:r>
    </w:p>
    <w:p w:rsidR="00537B95" w:rsidRPr="005323C1" w:rsidRDefault="00537B95" w:rsidP="00537B95">
      <w:pPr>
        <w:pStyle w:val="ListParagraph"/>
        <w:numPr>
          <w:ilvl w:val="1"/>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 xml:space="preserve">For these units, the BSER is </w:t>
      </w:r>
      <w:r w:rsidRPr="005323C1">
        <w:rPr>
          <w:rStyle w:val="normaltextrun"/>
          <w:rFonts w:ascii="Times New Roman" w:hAnsi="Times New Roman" w:cs="Times New Roman"/>
          <w:color w:val="000000"/>
          <w:szCs w:val="24"/>
          <w:bdr w:val="none" w:sz="0" w:space="0" w:color="auto" w:frame="1"/>
        </w:rPr>
        <w:t>best available subcritical steam conditions</w:t>
      </w:r>
      <w:r w:rsidRPr="005323C1">
        <w:rPr>
          <w:rFonts w:ascii="Times New Roman" w:hAnsi="Times New Roman" w:cs="Times New Roman"/>
          <w:szCs w:val="24"/>
        </w:rPr>
        <w:t>, and if finalized, the emission rate for these sources will be 2,200 lb CO</w:t>
      </w:r>
      <w:r w:rsidRPr="005323C1">
        <w:rPr>
          <w:rFonts w:ascii="Times New Roman" w:hAnsi="Times New Roman" w:cs="Times New Roman"/>
          <w:szCs w:val="24"/>
          <w:vertAlign w:val="subscript"/>
        </w:rPr>
        <w:t>2</w:t>
      </w:r>
      <w:r w:rsidRPr="005323C1">
        <w:rPr>
          <w:rFonts w:ascii="Times New Roman" w:hAnsi="Times New Roman" w:cs="Times New Roman"/>
          <w:szCs w:val="24"/>
        </w:rPr>
        <w:t>/MWh-gross, regardless of the size of the unit.</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bookmarkStart w:id="2" w:name="_Hlk529269138"/>
      <w:r w:rsidRPr="005323C1">
        <w:rPr>
          <w:rFonts w:ascii="Times New Roman" w:hAnsi="Times New Roman" w:cs="Times New Roman"/>
          <w:szCs w:val="24"/>
        </w:rPr>
        <w:t>In addition, EPA is proposing to revise the standards of performance for reconstructed fossil fuel-fired steam units – which are also based on the most efficient demonstrated steam cycle – to make them consistent with the emission rates for large and small newly constructed units.</w:t>
      </w:r>
    </w:p>
    <w:bookmarkEnd w:id="2"/>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EPA issued the final Standards of Performance for Greenhouse Gas Emissions from New, Modified, and Reconstructed Stationary Sources: Electric Utility Generating Units, on October 23, 2015.</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The 2015 rule made the determination that partial carbon capture and storage (CCS) was the BSER for new power plants.</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The amended BSER determination in this action is based on:</w:t>
      </w:r>
    </w:p>
    <w:p w:rsidR="00537B95" w:rsidRPr="005323C1" w:rsidRDefault="00537B95" w:rsidP="00537B95">
      <w:pPr>
        <w:pStyle w:val="ListParagraph"/>
        <w:numPr>
          <w:ilvl w:val="1"/>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An updated analysis of what represents reasonable costs, and</w:t>
      </w:r>
    </w:p>
    <w:p w:rsidR="00537B95" w:rsidRPr="005323C1" w:rsidRDefault="00537B95" w:rsidP="00537B95">
      <w:pPr>
        <w:pStyle w:val="ListParagraph"/>
        <w:numPr>
          <w:ilvl w:val="1"/>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An updated analysis of the geographic availability of CCS.</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bookmarkStart w:id="3" w:name="_Hlk516135164"/>
      <w:bookmarkStart w:id="4" w:name="_Hlk516131533"/>
      <w:bookmarkEnd w:id="1"/>
      <w:r w:rsidRPr="005323C1">
        <w:rPr>
          <w:rFonts w:ascii="Times New Roman" w:hAnsi="Times New Roman" w:cs="Times New Roman"/>
          <w:szCs w:val="24"/>
        </w:rPr>
        <w:lastRenderedPageBreak/>
        <w:t xml:space="preserve">EPA is not proposing any changes to the Standards of Performance for Newly Constructed or Reconstructed Stationary Combustion Turbines.  The agency is taking comment on whether and how to address concerns raised by stakeholders regarding the increased use of simple cycle aeroderivative turbines, including as back-up generation for wind and solar resources, whose operation may exceed the non-base load threshold described in the 2015 rule. Any follow-up regulatory actions would be achieved through a separate and subsequent proposal. </w:t>
      </w:r>
    </w:p>
    <w:p w:rsidR="00537B95" w:rsidRPr="005323C1" w:rsidRDefault="00537B95" w:rsidP="00537B95">
      <w:pPr>
        <w:numPr>
          <w:ilvl w:val="0"/>
          <w:numId w:val="1"/>
        </w:numPr>
        <w:spacing w:after="120" w:line="240" w:lineRule="auto"/>
        <w:rPr>
          <w:rFonts w:ascii="Times New Roman" w:hAnsi="Times New Roman" w:cs="Times New Roman"/>
          <w:szCs w:val="24"/>
        </w:rPr>
      </w:pPr>
      <w:bookmarkStart w:id="5" w:name="_Hlk516134068"/>
      <w:bookmarkEnd w:id="3"/>
      <w:bookmarkEnd w:id="4"/>
      <w:r w:rsidRPr="005323C1">
        <w:rPr>
          <w:rFonts w:ascii="Times New Roman" w:hAnsi="Times New Roman" w:cs="Times New Roman"/>
          <w:szCs w:val="24"/>
        </w:rPr>
        <w:t>Finally, EPA is taking comment on the regulatory threshold under section 111(b) that a source category “causes, or contributes significantly to,” air pollution. EPA asks for the public’s views on the proper interpretation of this phrase, the agency’s historic approach to this requirement, and whether this requirement should apply differently in the context of greenhouse gases than for traditional pollutants.</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 xml:space="preserve">This proposed action is in response to Executive Order 13783 – Promoting Energy Independence and Economic Growth – that directed all agencies to “immediately review existing regulations … and appropriately suspend, revise, or rescind those that unduly burden the development of domestic energy resources beyond the degree necessary to protect the public interest or otherwise comply with the law.” </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Section 111(b) of the Clean Air Act (CAA) provides authority to address emissions from new, modified, and reconstructed power plants, recognizing different approaches that are available at different stages of construction.</w:t>
      </w:r>
    </w:p>
    <w:p w:rsidR="00537B95" w:rsidRPr="005323C1" w:rsidRDefault="00537B95" w:rsidP="00537B95">
      <w:pPr>
        <w:pStyle w:val="ListParagraph"/>
        <w:numPr>
          <w:ilvl w:val="1"/>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 xml:space="preserve">A new source is any newly constructed fossil fuel-fired power plant. </w:t>
      </w:r>
    </w:p>
    <w:p w:rsidR="00537B95" w:rsidRPr="005323C1" w:rsidRDefault="00537B95" w:rsidP="00537B95">
      <w:pPr>
        <w:pStyle w:val="ListParagraph"/>
        <w:numPr>
          <w:ilvl w:val="1"/>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 xml:space="preserve">A modification is any physical or operational change to an existing source that increases the source’s maximum achievable hourly rate of air pollutant emissions. </w:t>
      </w:r>
    </w:p>
    <w:p w:rsidR="00537B95" w:rsidRPr="005323C1" w:rsidRDefault="00537B95" w:rsidP="00537B95">
      <w:pPr>
        <w:pStyle w:val="ListParagraph"/>
        <w:numPr>
          <w:ilvl w:val="1"/>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 xml:space="preserve">A reconstructed source is a unit that replaces components to such an extent that the capital cost of the new components exceeds 50 percent of the capital cost of an entirely new comparable facility. </w:t>
      </w:r>
    </w:p>
    <w:bookmarkEnd w:id="5"/>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 xml:space="preserve">If finalized, the proposed revised standards would apply to new, modified, and reconstructed sources after the date this proposal is published in the </w:t>
      </w:r>
      <w:r w:rsidRPr="005323C1">
        <w:rPr>
          <w:rFonts w:ascii="Times New Roman" w:hAnsi="Times New Roman" w:cs="Times New Roman"/>
          <w:i/>
          <w:szCs w:val="24"/>
        </w:rPr>
        <w:t>Federal Register</w:t>
      </w:r>
      <w:r w:rsidRPr="005323C1">
        <w:rPr>
          <w:rFonts w:ascii="Times New Roman" w:hAnsi="Times New Roman" w:cs="Times New Roman"/>
          <w:szCs w:val="24"/>
        </w:rPr>
        <w:t xml:space="preserve">. </w:t>
      </w:r>
    </w:p>
    <w:p w:rsidR="005323C1" w:rsidRPr="005323C1" w:rsidRDefault="00537B95" w:rsidP="005323C1">
      <w:pPr>
        <w:pStyle w:val="ListParagraph"/>
        <w:numPr>
          <w:ilvl w:val="0"/>
          <w:numId w:val="1"/>
        </w:numPr>
        <w:spacing w:before="100" w:beforeAutospacing="1" w:after="100" w:afterAutospacing="1" w:line="240" w:lineRule="auto"/>
        <w:rPr>
          <w:rFonts w:ascii="Times New Roman" w:hAnsi="Times New Roman" w:cs="Times New Roman"/>
          <w:szCs w:val="24"/>
        </w:rPr>
      </w:pPr>
      <w:r w:rsidRPr="005323C1">
        <w:rPr>
          <w:rFonts w:ascii="Times New Roman" w:hAnsi="Times New Roman" w:cs="Times New Roman"/>
          <w:szCs w:val="24"/>
        </w:rPr>
        <w:t>EPA projects this proposed rule will not result in any significant carbon dioxide (CO</w:t>
      </w:r>
      <w:r w:rsidRPr="005323C1">
        <w:rPr>
          <w:rFonts w:ascii="Times New Roman" w:hAnsi="Times New Roman" w:cs="Times New Roman"/>
          <w:szCs w:val="24"/>
          <w:vertAlign w:val="subscript"/>
        </w:rPr>
        <w:t>2</w:t>
      </w:r>
      <w:r w:rsidRPr="005323C1">
        <w:rPr>
          <w:rFonts w:ascii="Times New Roman" w:hAnsi="Times New Roman" w:cs="Times New Roman"/>
          <w:szCs w:val="24"/>
        </w:rPr>
        <w:t xml:space="preserve">) emission changes or costs. EPA and U.S. Energy Information Administration analysis currently projects there to be few new, reconstructed, or modified sources that would trigger these provisions. </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 xml:space="preserve">EPA will accept comment on this proposal for 60 days after publication in the </w:t>
      </w:r>
      <w:r w:rsidRPr="005323C1">
        <w:rPr>
          <w:rFonts w:ascii="Times New Roman" w:hAnsi="Times New Roman" w:cs="Times New Roman"/>
          <w:i/>
          <w:szCs w:val="24"/>
        </w:rPr>
        <w:t>Federal Register</w:t>
      </w:r>
      <w:r w:rsidRPr="005323C1">
        <w:rPr>
          <w:rFonts w:ascii="Times New Roman" w:hAnsi="Times New Roman" w:cs="Times New Roman"/>
          <w:szCs w:val="24"/>
        </w:rPr>
        <w:t xml:space="preserve"> and hold a public hearing. Additional details to follow. </w:t>
      </w:r>
    </w:p>
    <w:p w:rsidR="00537B95" w:rsidRPr="005323C1" w:rsidRDefault="00537B95">
      <w:pPr>
        <w:rPr>
          <w:rFonts w:ascii="Times New Roman" w:hAnsi="Times New Roman" w:cs="Times New Roman"/>
          <w:b/>
          <w:caps/>
          <w:szCs w:val="24"/>
        </w:rPr>
      </w:pPr>
      <w:r w:rsidRPr="005323C1">
        <w:rPr>
          <w:rFonts w:ascii="Times New Roman" w:hAnsi="Times New Roman" w:cs="Times New Roman"/>
          <w:szCs w:val="24"/>
        </w:rPr>
        <w:br w:type="page"/>
      </w:r>
    </w:p>
    <w:bookmarkEnd w:id="0"/>
    <w:p w:rsidR="00537B95" w:rsidRPr="005323C1" w:rsidRDefault="00537B95" w:rsidP="00537B95">
      <w:pPr>
        <w:pStyle w:val="Heading1"/>
        <w:rPr>
          <w:rFonts w:ascii="Times New Roman" w:hAnsi="Times New Roman" w:cs="Times New Roman"/>
        </w:rPr>
      </w:pPr>
      <w:r w:rsidRPr="005323C1">
        <w:rPr>
          <w:rFonts w:ascii="Times New Roman" w:hAnsi="Times New Roman" w:cs="Times New Roman"/>
        </w:rPr>
        <w:lastRenderedPageBreak/>
        <w:t>Background</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 xml:space="preserve">In 2007, the United States Supreme Court concluded Congress had drafted the CAA broadly enough that EPA could regulate greenhouse gases (GHGs) from new motor vehicles under CAA section 202(a). </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 xml:space="preserve">In 2009, EPA issued an Endangerment Finding concluding that emissions of GHGs from new motor vehicles cause or contribute to air pollution that may reasonably be anticipated to endanger public health or welfare. This determination allowed EPA to regulate GHGs from new motor vehicles. </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 xml:space="preserve">Relying on the 2009 endangerment finding, EPA then proposed to regulate GHGs from power plants. </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 xml:space="preserve">In October 2015, the previous Administration issued a </w:t>
      </w:r>
      <w:bookmarkStart w:id="6" w:name="_Hlk531177968"/>
      <w:r w:rsidRPr="005323C1">
        <w:rPr>
          <w:rFonts w:ascii="Times New Roman" w:hAnsi="Times New Roman" w:cs="Times New Roman"/>
          <w:szCs w:val="24"/>
        </w:rPr>
        <w:t xml:space="preserve">final rule to regulate GHGs from new power plants </w:t>
      </w:r>
      <w:bookmarkEnd w:id="6"/>
      <w:r w:rsidRPr="005323C1">
        <w:rPr>
          <w:rFonts w:ascii="Times New Roman" w:hAnsi="Times New Roman" w:cs="Times New Roman"/>
          <w:szCs w:val="24"/>
        </w:rPr>
        <w:t xml:space="preserve">under section 111(b) of the CAA and issued a final rule to regulate GHGs from existing power plants under CAA section 111(d), which was more commonly referred to as the Clean Power Plan (CPP). </w:t>
      </w:r>
    </w:p>
    <w:p w:rsidR="00537B95" w:rsidRPr="005323C1" w:rsidRDefault="00537B95" w:rsidP="00537B95">
      <w:pPr>
        <w:pStyle w:val="ListParagraph"/>
        <w:numPr>
          <w:ilvl w:val="0"/>
          <w:numId w:val="1"/>
        </w:numPr>
        <w:spacing w:after="120" w:line="240" w:lineRule="auto"/>
        <w:contextualSpacing w:val="0"/>
        <w:rPr>
          <w:rFonts w:ascii="Times New Roman" w:hAnsi="Times New Roman" w:cs="Times New Roman"/>
          <w:szCs w:val="24"/>
        </w:rPr>
      </w:pPr>
      <w:r w:rsidRPr="005323C1">
        <w:rPr>
          <w:rFonts w:ascii="Times New Roman" w:hAnsi="Times New Roman" w:cs="Times New Roman"/>
          <w:szCs w:val="24"/>
        </w:rPr>
        <w:t>On March 28, 2017, President Trump signed the Energy Independence Executive Order which called for, among other things, a review of the final rule to regulate GHGs from new power plants and, if appropriate, reconsideration proceedings to suspend, revise or rescind the rule. This proposal to revise the 111(b) standards is a step in response to this executive order.</w:t>
      </w:r>
    </w:p>
    <w:sectPr w:rsidR="00537B95" w:rsidRPr="005323C1" w:rsidSect="00817B3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76" w:rsidRDefault="00590E76">
      <w:pPr>
        <w:spacing w:after="0" w:line="240" w:lineRule="auto"/>
      </w:pPr>
      <w:r>
        <w:separator/>
      </w:r>
    </w:p>
  </w:endnote>
  <w:endnote w:type="continuationSeparator" w:id="0">
    <w:p w:rsidR="00590E76" w:rsidRDefault="0059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81736"/>
      <w:docPartObj>
        <w:docPartGallery w:val="Page Numbers (Bottom of Page)"/>
        <w:docPartUnique/>
      </w:docPartObj>
    </w:sdtPr>
    <w:sdtEndPr>
      <w:rPr>
        <w:noProof/>
      </w:rPr>
    </w:sdtEndPr>
    <w:sdtContent>
      <w:p w:rsidR="00282A62" w:rsidRDefault="00537B95">
        <w:pPr>
          <w:pStyle w:val="Footer"/>
          <w:jc w:val="center"/>
        </w:pPr>
        <w:r>
          <w:fldChar w:fldCharType="begin"/>
        </w:r>
        <w:r>
          <w:instrText xml:space="preserve"> PAGE   \* MERGEFORMAT </w:instrText>
        </w:r>
        <w:r>
          <w:fldChar w:fldCharType="separate"/>
        </w:r>
        <w:r w:rsidR="00A76FFF">
          <w:rPr>
            <w:noProof/>
          </w:rPr>
          <w:t>2</w:t>
        </w:r>
        <w:r>
          <w:rPr>
            <w:noProof/>
          </w:rPr>
          <w:fldChar w:fldCharType="end"/>
        </w:r>
      </w:p>
    </w:sdtContent>
  </w:sdt>
  <w:p w:rsidR="00282A62" w:rsidRDefault="00590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76" w:rsidRDefault="00590E76">
      <w:pPr>
        <w:spacing w:after="0" w:line="240" w:lineRule="auto"/>
      </w:pPr>
      <w:r>
        <w:separator/>
      </w:r>
    </w:p>
  </w:footnote>
  <w:footnote w:type="continuationSeparator" w:id="0">
    <w:p w:rsidR="00590E76" w:rsidRDefault="00590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62" w:rsidRPr="00361C92" w:rsidRDefault="00537B95">
    <w:pPr>
      <w:pStyle w:val="Header"/>
      <w:rPr>
        <w:color w:val="FF0000"/>
      </w:rPr>
    </w:pPr>
    <w:r w:rsidRPr="00361C92">
      <w:rPr>
        <w:color w:val="FF0000"/>
      </w:rPr>
      <w:t xml:space="preserve">EMBARGOED Until December 6, 2018 at 2 PM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36E36"/>
    <w:multiLevelType w:val="hybridMultilevel"/>
    <w:tmpl w:val="5C56B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95"/>
    <w:rsid w:val="000D1DFB"/>
    <w:rsid w:val="005323C1"/>
    <w:rsid w:val="00537B95"/>
    <w:rsid w:val="00590E76"/>
    <w:rsid w:val="005C4E46"/>
    <w:rsid w:val="00A76FFF"/>
    <w:rsid w:val="00BB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B95"/>
    <w:rPr>
      <w:sz w:val="24"/>
    </w:rPr>
  </w:style>
  <w:style w:type="paragraph" w:styleId="Heading1">
    <w:name w:val="heading 1"/>
    <w:basedOn w:val="Normal"/>
    <w:next w:val="Normal"/>
    <w:link w:val="Heading1Char"/>
    <w:uiPriority w:val="9"/>
    <w:qFormat/>
    <w:rsid w:val="00537B95"/>
    <w:pPr>
      <w:spacing w:after="120" w:line="240" w:lineRule="auto"/>
      <w:outlineLvl w:val="0"/>
    </w:pPr>
    <w:rPr>
      <w:rFonts w:cstheme="minorHAns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B95"/>
    <w:rPr>
      <w:rFonts w:cstheme="minorHAnsi"/>
      <w:b/>
      <w:caps/>
      <w:sz w:val="24"/>
      <w:szCs w:val="24"/>
    </w:rPr>
  </w:style>
  <w:style w:type="character" w:styleId="Hyperlink">
    <w:name w:val="Hyperlink"/>
    <w:basedOn w:val="DefaultParagraphFont"/>
    <w:uiPriority w:val="99"/>
    <w:unhideWhenUsed/>
    <w:rsid w:val="00537B95"/>
    <w:rPr>
      <w:color w:val="0563C1" w:themeColor="hyperlink"/>
      <w:u w:val="single"/>
    </w:rPr>
  </w:style>
  <w:style w:type="paragraph" w:styleId="Header">
    <w:name w:val="header"/>
    <w:basedOn w:val="Normal"/>
    <w:link w:val="HeaderChar"/>
    <w:uiPriority w:val="99"/>
    <w:unhideWhenUsed/>
    <w:rsid w:val="00537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B95"/>
    <w:rPr>
      <w:sz w:val="24"/>
    </w:rPr>
  </w:style>
  <w:style w:type="paragraph" w:customStyle="1" w:styleId="Default">
    <w:name w:val="Default"/>
    <w:rsid w:val="00537B9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34"/>
    <w:qFormat/>
    <w:rsid w:val="00537B95"/>
    <w:pPr>
      <w:ind w:left="720"/>
      <w:contextualSpacing/>
    </w:pPr>
  </w:style>
  <w:style w:type="character" w:styleId="Strong">
    <w:name w:val="Strong"/>
    <w:basedOn w:val="DefaultParagraphFont"/>
    <w:uiPriority w:val="22"/>
    <w:qFormat/>
    <w:rsid w:val="00537B95"/>
    <w:rPr>
      <w:b/>
      <w:bCs/>
    </w:rPr>
  </w:style>
  <w:style w:type="paragraph" w:styleId="Footer">
    <w:name w:val="footer"/>
    <w:basedOn w:val="Normal"/>
    <w:link w:val="FooterChar"/>
    <w:uiPriority w:val="99"/>
    <w:unhideWhenUsed/>
    <w:rsid w:val="00537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B95"/>
    <w:rPr>
      <w:sz w:val="24"/>
    </w:rPr>
  </w:style>
  <w:style w:type="character" w:styleId="CommentReference">
    <w:name w:val="annotation reference"/>
    <w:basedOn w:val="DefaultParagraphFont"/>
    <w:uiPriority w:val="99"/>
    <w:semiHidden/>
    <w:unhideWhenUsed/>
    <w:rsid w:val="00537B95"/>
    <w:rPr>
      <w:sz w:val="16"/>
      <w:szCs w:val="16"/>
    </w:rPr>
  </w:style>
  <w:style w:type="paragraph" w:styleId="CommentText">
    <w:name w:val="annotation text"/>
    <w:basedOn w:val="Normal"/>
    <w:link w:val="CommentTextChar"/>
    <w:uiPriority w:val="99"/>
    <w:unhideWhenUsed/>
    <w:rsid w:val="00537B95"/>
    <w:pPr>
      <w:spacing w:line="240" w:lineRule="auto"/>
    </w:pPr>
    <w:rPr>
      <w:sz w:val="20"/>
      <w:szCs w:val="20"/>
    </w:rPr>
  </w:style>
  <w:style w:type="character" w:customStyle="1" w:styleId="CommentTextChar">
    <w:name w:val="Comment Text Char"/>
    <w:basedOn w:val="DefaultParagraphFont"/>
    <w:link w:val="CommentText"/>
    <w:uiPriority w:val="99"/>
    <w:rsid w:val="00537B95"/>
    <w:rPr>
      <w:sz w:val="20"/>
      <w:szCs w:val="20"/>
    </w:rPr>
  </w:style>
  <w:style w:type="paragraph" w:styleId="Title">
    <w:name w:val="Title"/>
    <w:basedOn w:val="Normal"/>
    <w:next w:val="Normal"/>
    <w:link w:val="TitleChar"/>
    <w:uiPriority w:val="10"/>
    <w:qFormat/>
    <w:rsid w:val="00537B95"/>
    <w:pPr>
      <w:spacing w:after="0" w:line="240" w:lineRule="auto"/>
      <w:jc w:val="center"/>
    </w:pPr>
    <w:rPr>
      <w:rFonts w:cstheme="minorHAnsi"/>
      <w:b/>
      <w:szCs w:val="24"/>
    </w:rPr>
  </w:style>
  <w:style w:type="character" w:customStyle="1" w:styleId="TitleChar">
    <w:name w:val="Title Char"/>
    <w:basedOn w:val="DefaultParagraphFont"/>
    <w:link w:val="Title"/>
    <w:uiPriority w:val="10"/>
    <w:rsid w:val="00537B95"/>
    <w:rPr>
      <w:rFonts w:cstheme="minorHAnsi"/>
      <w:b/>
      <w:sz w:val="24"/>
      <w:szCs w:val="24"/>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rsid w:val="00537B95"/>
    <w:rPr>
      <w:sz w:val="24"/>
    </w:rPr>
  </w:style>
  <w:style w:type="character" w:customStyle="1" w:styleId="normaltextrun">
    <w:name w:val="normaltextrun"/>
    <w:basedOn w:val="DefaultParagraphFont"/>
    <w:rsid w:val="00537B95"/>
  </w:style>
  <w:style w:type="paragraph" w:styleId="BalloonText">
    <w:name w:val="Balloon Text"/>
    <w:basedOn w:val="Normal"/>
    <w:link w:val="BalloonTextChar"/>
    <w:uiPriority w:val="99"/>
    <w:semiHidden/>
    <w:unhideWhenUsed/>
    <w:rsid w:val="00537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B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B95"/>
    <w:rPr>
      <w:sz w:val="24"/>
    </w:rPr>
  </w:style>
  <w:style w:type="paragraph" w:styleId="Heading1">
    <w:name w:val="heading 1"/>
    <w:basedOn w:val="Normal"/>
    <w:next w:val="Normal"/>
    <w:link w:val="Heading1Char"/>
    <w:uiPriority w:val="9"/>
    <w:qFormat/>
    <w:rsid w:val="00537B95"/>
    <w:pPr>
      <w:spacing w:after="120" w:line="240" w:lineRule="auto"/>
      <w:outlineLvl w:val="0"/>
    </w:pPr>
    <w:rPr>
      <w:rFonts w:cstheme="minorHAns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B95"/>
    <w:rPr>
      <w:rFonts w:cstheme="minorHAnsi"/>
      <w:b/>
      <w:caps/>
      <w:sz w:val="24"/>
      <w:szCs w:val="24"/>
    </w:rPr>
  </w:style>
  <w:style w:type="character" w:styleId="Hyperlink">
    <w:name w:val="Hyperlink"/>
    <w:basedOn w:val="DefaultParagraphFont"/>
    <w:uiPriority w:val="99"/>
    <w:unhideWhenUsed/>
    <w:rsid w:val="00537B95"/>
    <w:rPr>
      <w:color w:val="0563C1" w:themeColor="hyperlink"/>
      <w:u w:val="single"/>
    </w:rPr>
  </w:style>
  <w:style w:type="paragraph" w:styleId="Header">
    <w:name w:val="header"/>
    <w:basedOn w:val="Normal"/>
    <w:link w:val="HeaderChar"/>
    <w:uiPriority w:val="99"/>
    <w:unhideWhenUsed/>
    <w:rsid w:val="00537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B95"/>
    <w:rPr>
      <w:sz w:val="24"/>
    </w:rPr>
  </w:style>
  <w:style w:type="paragraph" w:customStyle="1" w:styleId="Default">
    <w:name w:val="Default"/>
    <w:rsid w:val="00537B9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34"/>
    <w:qFormat/>
    <w:rsid w:val="00537B95"/>
    <w:pPr>
      <w:ind w:left="720"/>
      <w:contextualSpacing/>
    </w:pPr>
  </w:style>
  <w:style w:type="character" w:styleId="Strong">
    <w:name w:val="Strong"/>
    <w:basedOn w:val="DefaultParagraphFont"/>
    <w:uiPriority w:val="22"/>
    <w:qFormat/>
    <w:rsid w:val="00537B95"/>
    <w:rPr>
      <w:b/>
      <w:bCs/>
    </w:rPr>
  </w:style>
  <w:style w:type="paragraph" w:styleId="Footer">
    <w:name w:val="footer"/>
    <w:basedOn w:val="Normal"/>
    <w:link w:val="FooterChar"/>
    <w:uiPriority w:val="99"/>
    <w:unhideWhenUsed/>
    <w:rsid w:val="00537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B95"/>
    <w:rPr>
      <w:sz w:val="24"/>
    </w:rPr>
  </w:style>
  <w:style w:type="character" w:styleId="CommentReference">
    <w:name w:val="annotation reference"/>
    <w:basedOn w:val="DefaultParagraphFont"/>
    <w:uiPriority w:val="99"/>
    <w:semiHidden/>
    <w:unhideWhenUsed/>
    <w:rsid w:val="00537B95"/>
    <w:rPr>
      <w:sz w:val="16"/>
      <w:szCs w:val="16"/>
    </w:rPr>
  </w:style>
  <w:style w:type="paragraph" w:styleId="CommentText">
    <w:name w:val="annotation text"/>
    <w:basedOn w:val="Normal"/>
    <w:link w:val="CommentTextChar"/>
    <w:uiPriority w:val="99"/>
    <w:unhideWhenUsed/>
    <w:rsid w:val="00537B95"/>
    <w:pPr>
      <w:spacing w:line="240" w:lineRule="auto"/>
    </w:pPr>
    <w:rPr>
      <w:sz w:val="20"/>
      <w:szCs w:val="20"/>
    </w:rPr>
  </w:style>
  <w:style w:type="character" w:customStyle="1" w:styleId="CommentTextChar">
    <w:name w:val="Comment Text Char"/>
    <w:basedOn w:val="DefaultParagraphFont"/>
    <w:link w:val="CommentText"/>
    <w:uiPriority w:val="99"/>
    <w:rsid w:val="00537B95"/>
    <w:rPr>
      <w:sz w:val="20"/>
      <w:szCs w:val="20"/>
    </w:rPr>
  </w:style>
  <w:style w:type="paragraph" w:styleId="Title">
    <w:name w:val="Title"/>
    <w:basedOn w:val="Normal"/>
    <w:next w:val="Normal"/>
    <w:link w:val="TitleChar"/>
    <w:uiPriority w:val="10"/>
    <w:qFormat/>
    <w:rsid w:val="00537B95"/>
    <w:pPr>
      <w:spacing w:after="0" w:line="240" w:lineRule="auto"/>
      <w:jc w:val="center"/>
    </w:pPr>
    <w:rPr>
      <w:rFonts w:cstheme="minorHAnsi"/>
      <w:b/>
      <w:szCs w:val="24"/>
    </w:rPr>
  </w:style>
  <w:style w:type="character" w:customStyle="1" w:styleId="TitleChar">
    <w:name w:val="Title Char"/>
    <w:basedOn w:val="DefaultParagraphFont"/>
    <w:link w:val="Title"/>
    <w:uiPriority w:val="10"/>
    <w:rsid w:val="00537B95"/>
    <w:rPr>
      <w:rFonts w:cstheme="minorHAnsi"/>
      <w:b/>
      <w:sz w:val="24"/>
      <w:szCs w:val="24"/>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rsid w:val="00537B95"/>
    <w:rPr>
      <w:sz w:val="24"/>
    </w:rPr>
  </w:style>
  <w:style w:type="character" w:customStyle="1" w:styleId="normaltextrun">
    <w:name w:val="normaltextrun"/>
    <w:basedOn w:val="DefaultParagraphFont"/>
    <w:rsid w:val="00537B95"/>
  </w:style>
  <w:style w:type="paragraph" w:styleId="BalloonText">
    <w:name w:val="Balloon Text"/>
    <w:basedOn w:val="Normal"/>
    <w:link w:val="BalloonTextChar"/>
    <w:uiPriority w:val="99"/>
    <w:semiHidden/>
    <w:unhideWhenUsed/>
    <w:rsid w:val="00537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37E08-D7A9-4B51-8ED6-0A04B264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 S. House of Representatives</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Gunasekara, Mandy</dc:creator>
  <cp:lastModifiedBy>Small, Jeff</cp:lastModifiedBy>
  <cp:revision>2</cp:revision>
  <dcterms:created xsi:type="dcterms:W3CDTF">2018-12-06T15:18:00Z</dcterms:created>
  <dcterms:modified xsi:type="dcterms:W3CDTF">2018-12-06T15:18:00Z</dcterms:modified>
</cp:coreProperties>
</file>