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94B" w:rsidRPr="005E667F" w:rsidRDefault="00DD394B">
      <w:pPr>
        <w:rPr>
          <w:rFonts w:asciiTheme="minorHAnsi" w:hAnsiTheme="minorHAnsi" w:cstheme="minorHAnsi"/>
        </w:rPr>
      </w:pPr>
      <w:bookmarkStart w:id="0" w:name="_GoBack"/>
      <w:bookmarkEnd w:id="0"/>
    </w:p>
    <w:p w:rsidR="008D3C55" w:rsidRPr="005E667F" w:rsidRDefault="005E667F" w:rsidP="008D3C55">
      <w:pPr>
        <w:jc w:val="center"/>
        <w:rPr>
          <w:rFonts w:asciiTheme="minorHAnsi" w:hAnsiTheme="minorHAnsi" w:cstheme="minorHAnsi"/>
          <w:b/>
        </w:rPr>
      </w:pPr>
      <w:r w:rsidRPr="005E667F">
        <w:rPr>
          <w:rFonts w:asciiTheme="minorHAnsi" w:hAnsiTheme="minorHAnsi" w:cstheme="minorHAnsi"/>
          <w:b/>
        </w:rPr>
        <w:t xml:space="preserve">COMPLIANCE TOOL RE </w:t>
      </w:r>
      <w:r w:rsidR="00E324DB">
        <w:rPr>
          <w:rFonts w:asciiTheme="minorHAnsi" w:hAnsiTheme="minorHAnsi" w:cstheme="minorHAnsi"/>
          <w:b/>
        </w:rPr>
        <w:t xml:space="preserve">CERTAIN </w:t>
      </w:r>
      <w:r w:rsidR="008D3C55" w:rsidRPr="005E667F">
        <w:rPr>
          <w:rFonts w:asciiTheme="minorHAnsi" w:hAnsiTheme="minorHAnsi" w:cstheme="minorHAnsi"/>
          <w:b/>
        </w:rPr>
        <w:t>EXEMPTIONS</w:t>
      </w:r>
      <w:r w:rsidR="00E324DB">
        <w:rPr>
          <w:rFonts w:asciiTheme="minorHAnsi" w:hAnsiTheme="minorHAnsi" w:cstheme="minorHAnsi"/>
          <w:b/>
        </w:rPr>
        <w:t xml:space="preserve"> FROM CEA REQUIREMENTS, </w:t>
      </w:r>
      <w:r w:rsidR="008D3C55" w:rsidRPr="005E667F">
        <w:rPr>
          <w:rFonts w:asciiTheme="minorHAnsi" w:hAnsiTheme="minorHAnsi" w:cstheme="minorHAnsi"/>
          <w:b/>
        </w:rPr>
        <w:t>EXCLUSIONS FROM THE DEFINITION OF “SWAP</w:t>
      </w:r>
      <w:r w:rsidR="00E324DB">
        <w:rPr>
          <w:rFonts w:asciiTheme="minorHAnsi" w:hAnsiTheme="minorHAnsi" w:cstheme="minorHAnsi"/>
          <w:b/>
        </w:rPr>
        <w:t>,</w:t>
      </w:r>
      <w:r w:rsidR="008D3C55" w:rsidRPr="005E667F">
        <w:rPr>
          <w:rFonts w:asciiTheme="minorHAnsi" w:hAnsiTheme="minorHAnsi" w:cstheme="minorHAnsi"/>
          <w:b/>
        </w:rPr>
        <w:t>”</w:t>
      </w:r>
      <w:r w:rsidR="008164C2" w:rsidRPr="005E667F">
        <w:rPr>
          <w:rFonts w:asciiTheme="minorHAnsi" w:hAnsiTheme="minorHAnsi" w:cstheme="minorHAnsi"/>
          <w:b/>
        </w:rPr>
        <w:t xml:space="preserve"> AND </w:t>
      </w:r>
      <w:r w:rsidR="00E324DB">
        <w:rPr>
          <w:rFonts w:asciiTheme="minorHAnsi" w:hAnsiTheme="minorHAnsi" w:cstheme="minorHAnsi"/>
          <w:b/>
        </w:rPr>
        <w:t>THE COMMODITY TRADE OPTION</w:t>
      </w:r>
      <w:r w:rsidR="008164C2" w:rsidRPr="005E667F">
        <w:rPr>
          <w:rFonts w:asciiTheme="minorHAnsi" w:hAnsiTheme="minorHAnsi" w:cstheme="minorHAnsi"/>
          <w:b/>
        </w:rPr>
        <w:t xml:space="preserve"> </w:t>
      </w:r>
      <w:r w:rsidR="00E324DB">
        <w:rPr>
          <w:rFonts w:asciiTheme="minorHAnsi" w:hAnsiTheme="minorHAnsi" w:cstheme="minorHAnsi"/>
          <w:b/>
        </w:rPr>
        <w:t>(</w:t>
      </w:r>
      <w:r w:rsidRPr="005E667F">
        <w:rPr>
          <w:rFonts w:asciiTheme="minorHAnsi" w:hAnsiTheme="minorHAnsi" w:cstheme="minorHAnsi"/>
          <w:b/>
        </w:rPr>
        <w:t>“SWAP”</w:t>
      </w:r>
      <w:r w:rsidR="00E324DB">
        <w:rPr>
          <w:rFonts w:asciiTheme="minorHAnsi" w:hAnsiTheme="minorHAnsi" w:cstheme="minorHAnsi"/>
          <w:b/>
        </w:rPr>
        <w:t>)</w:t>
      </w:r>
      <w:r w:rsidRPr="005E667F">
        <w:rPr>
          <w:rFonts w:asciiTheme="minorHAnsi" w:hAnsiTheme="minorHAnsi" w:cstheme="minorHAnsi"/>
          <w:b/>
        </w:rPr>
        <w:t xml:space="preserve"> </w:t>
      </w:r>
      <w:r w:rsidR="008164C2" w:rsidRPr="005E667F">
        <w:rPr>
          <w:rFonts w:asciiTheme="minorHAnsi" w:hAnsiTheme="minorHAnsi" w:cstheme="minorHAnsi"/>
          <w:b/>
        </w:rPr>
        <w:t>EXEMPTION FROM CEA REQUIREMENTS</w:t>
      </w:r>
    </w:p>
    <w:p w:rsidR="008D3C55" w:rsidRPr="005E667F" w:rsidRDefault="008D3C55" w:rsidP="008D3C55">
      <w:pPr>
        <w:pStyle w:val="RSBodyText"/>
        <w:rPr>
          <w:rFonts w:asciiTheme="minorHAnsi" w:hAnsiTheme="minorHAnsi" w:cstheme="minorHAnsi"/>
        </w:rPr>
      </w:pPr>
    </w:p>
    <w:p w:rsidR="0022668A" w:rsidRPr="005E667F" w:rsidRDefault="008D3C55" w:rsidP="00C84E5B">
      <w:pPr>
        <w:pStyle w:val="Heading1"/>
        <w:rPr>
          <w:rFonts w:asciiTheme="minorHAnsi" w:hAnsiTheme="minorHAnsi" w:cstheme="minorHAnsi"/>
          <w:szCs w:val="24"/>
        </w:rPr>
      </w:pPr>
      <w:r w:rsidRPr="005E667F">
        <w:rPr>
          <w:rFonts w:asciiTheme="minorHAnsi" w:hAnsiTheme="minorHAnsi" w:cstheme="minorHAnsi"/>
          <w:b/>
          <w:szCs w:val="24"/>
        </w:rPr>
        <w:t>Introduction</w:t>
      </w:r>
      <w:r w:rsidRPr="005E667F">
        <w:rPr>
          <w:rFonts w:asciiTheme="minorHAnsi" w:hAnsiTheme="minorHAnsi" w:cstheme="minorHAnsi"/>
          <w:szCs w:val="24"/>
        </w:rPr>
        <w:t>:</w:t>
      </w:r>
      <w:r w:rsidR="004C3C1D" w:rsidRPr="005E667F">
        <w:rPr>
          <w:rFonts w:asciiTheme="minorHAnsi" w:hAnsiTheme="minorHAnsi" w:cstheme="minorHAnsi"/>
          <w:szCs w:val="24"/>
        </w:rPr>
        <w:tab/>
        <w:t xml:space="preserve"> </w:t>
      </w:r>
    </w:p>
    <w:p w:rsidR="008164C2" w:rsidRPr="005E667F" w:rsidRDefault="00C84E5B" w:rsidP="00C84E5B">
      <w:pPr>
        <w:pStyle w:val="idf94"/>
        <w:jc w:val="both"/>
        <w:rPr>
          <w:rFonts w:asciiTheme="minorHAnsi" w:hAnsiTheme="minorHAnsi" w:cstheme="minorHAnsi"/>
          <w:color w:val="000000"/>
        </w:rPr>
      </w:pPr>
      <w:r w:rsidRPr="005E667F">
        <w:rPr>
          <w:rStyle w:val="idf37"/>
          <w:rFonts w:asciiTheme="minorHAnsi" w:hAnsiTheme="minorHAnsi" w:cstheme="minorHAnsi"/>
          <w:color w:val="000000"/>
        </w:rPr>
        <w:t>This compliance tool has been prepared by Reed Smith LLP and</w:t>
      </w:r>
      <w:r w:rsidR="008164C2" w:rsidRPr="005E667F">
        <w:rPr>
          <w:rStyle w:val="idf37"/>
          <w:rFonts w:asciiTheme="minorHAnsi" w:hAnsiTheme="minorHAnsi" w:cstheme="minorHAnsi"/>
          <w:color w:val="000000"/>
        </w:rPr>
        <w:t xml:space="preserve"> is</w:t>
      </w:r>
      <w:r w:rsidRPr="005E667F">
        <w:rPr>
          <w:rStyle w:val="idf37"/>
          <w:rFonts w:asciiTheme="minorHAnsi" w:hAnsiTheme="minorHAnsi" w:cstheme="minorHAnsi"/>
          <w:color w:val="000000"/>
        </w:rPr>
        <w:t xml:space="preserve"> </w:t>
      </w:r>
      <w:r w:rsidR="008164C2" w:rsidRPr="005E667F">
        <w:rPr>
          <w:rStyle w:val="idf37"/>
          <w:rFonts w:asciiTheme="minorHAnsi" w:hAnsiTheme="minorHAnsi" w:cstheme="minorHAnsi"/>
          <w:color w:val="000000"/>
        </w:rPr>
        <w:t xml:space="preserve">intended to provide guidance with respect to </w:t>
      </w:r>
      <w:r w:rsidR="00E324DB">
        <w:rPr>
          <w:rStyle w:val="idf37"/>
          <w:rFonts w:asciiTheme="minorHAnsi" w:hAnsiTheme="minorHAnsi" w:cstheme="minorHAnsi"/>
          <w:color w:val="000000"/>
        </w:rPr>
        <w:t>certain 4(c)(b) exemptions from compliance with the Commodity Exchange Act (the “CEA”), certain</w:t>
      </w:r>
      <w:r w:rsidR="008164C2" w:rsidRPr="005E667F">
        <w:rPr>
          <w:rStyle w:val="idf37"/>
          <w:rFonts w:asciiTheme="minorHAnsi" w:hAnsiTheme="minorHAnsi" w:cstheme="minorHAnsi"/>
          <w:color w:val="000000"/>
        </w:rPr>
        <w:t xml:space="preserve"> exclusions from the term “swap”</w:t>
      </w:r>
      <w:r w:rsidR="00BF7732" w:rsidRPr="005E667F">
        <w:rPr>
          <w:rStyle w:val="idf37"/>
          <w:rFonts w:asciiTheme="minorHAnsi" w:hAnsiTheme="minorHAnsi" w:cstheme="minorHAnsi"/>
          <w:color w:val="000000"/>
        </w:rPr>
        <w:t xml:space="preserve"> promulgated</w:t>
      </w:r>
      <w:r w:rsidR="008164C2" w:rsidRPr="005E667F">
        <w:rPr>
          <w:rStyle w:val="idf37"/>
          <w:rFonts w:asciiTheme="minorHAnsi" w:hAnsiTheme="minorHAnsi" w:cstheme="minorHAnsi"/>
          <w:color w:val="000000"/>
        </w:rPr>
        <w:t xml:space="preserve"> </w:t>
      </w:r>
      <w:r w:rsidRPr="005E667F">
        <w:rPr>
          <w:rStyle w:val="idf37"/>
          <w:rFonts w:asciiTheme="minorHAnsi" w:hAnsiTheme="minorHAnsi" w:cstheme="minorHAnsi"/>
          <w:color w:val="000000"/>
        </w:rPr>
        <w:t xml:space="preserve">under </w:t>
      </w:r>
      <w:r w:rsidRPr="005E667F">
        <w:rPr>
          <w:rFonts w:asciiTheme="minorHAnsi" w:hAnsiTheme="minorHAnsi" w:cstheme="minorHAnsi"/>
        </w:rPr>
        <w:t>the U.S. Commodities Futures Trading Commission</w:t>
      </w:r>
      <w:r w:rsidR="00EC2855" w:rsidRPr="005E667F">
        <w:rPr>
          <w:rFonts w:asciiTheme="minorHAnsi" w:hAnsiTheme="minorHAnsi" w:cstheme="minorHAnsi"/>
        </w:rPr>
        <w:t>’</w:t>
      </w:r>
      <w:r w:rsidRPr="005E667F">
        <w:rPr>
          <w:rFonts w:asciiTheme="minorHAnsi" w:hAnsiTheme="minorHAnsi" w:cstheme="minorHAnsi"/>
        </w:rPr>
        <w:t xml:space="preserve">s (the “CFTC”) Product Definitions Release, 77 Fed. Reg. 48,208 (August 13, 2012) (“PDR”) and </w:t>
      </w:r>
      <w:r w:rsidR="00E324DB">
        <w:rPr>
          <w:rFonts w:asciiTheme="minorHAnsi" w:hAnsiTheme="minorHAnsi" w:cstheme="minorHAnsi"/>
        </w:rPr>
        <w:t xml:space="preserve">the Non-financial Commodity Trade Option Interim Final Rule (“IFR”) provided in the </w:t>
      </w:r>
      <w:r w:rsidRPr="005E667F">
        <w:rPr>
          <w:rFonts w:asciiTheme="minorHAnsi" w:hAnsiTheme="minorHAnsi" w:cstheme="minorHAnsi"/>
        </w:rPr>
        <w:t>Commodity Options Release, 77 Fed. Reg. 25,320 (April 27, 2012) (“COR”)</w:t>
      </w:r>
      <w:r w:rsidRPr="005E667F">
        <w:rPr>
          <w:rStyle w:val="idf37"/>
          <w:rFonts w:asciiTheme="minorHAnsi" w:hAnsiTheme="minorHAnsi" w:cstheme="minorHAnsi"/>
          <w:color w:val="000000"/>
        </w:rPr>
        <w:t xml:space="preserve">. Please note that </w:t>
      </w:r>
      <w:r w:rsidR="00BF7732" w:rsidRPr="005E667F">
        <w:rPr>
          <w:rStyle w:val="idf37"/>
          <w:rFonts w:asciiTheme="minorHAnsi" w:hAnsiTheme="minorHAnsi" w:cstheme="minorHAnsi"/>
          <w:color w:val="000000"/>
        </w:rPr>
        <w:t xml:space="preserve">the </w:t>
      </w:r>
      <w:r w:rsidRPr="005E667F">
        <w:rPr>
          <w:rStyle w:val="idf37"/>
          <w:rFonts w:asciiTheme="minorHAnsi" w:hAnsiTheme="minorHAnsi" w:cstheme="minorHAnsi"/>
          <w:color w:val="000000"/>
        </w:rPr>
        <w:t xml:space="preserve">CFTC </w:t>
      </w:r>
      <w:r w:rsidR="008164C2" w:rsidRPr="005E667F">
        <w:rPr>
          <w:rStyle w:val="idf37"/>
          <w:rFonts w:asciiTheme="minorHAnsi" w:hAnsiTheme="minorHAnsi" w:cstheme="minorHAnsi"/>
          <w:color w:val="000000"/>
        </w:rPr>
        <w:t>changes and updates its regulations</w:t>
      </w:r>
      <w:r w:rsidR="00991B29">
        <w:rPr>
          <w:rStyle w:val="idf37"/>
          <w:rFonts w:asciiTheme="minorHAnsi" w:hAnsiTheme="minorHAnsi" w:cstheme="minorHAnsi"/>
          <w:color w:val="000000"/>
        </w:rPr>
        <w:t xml:space="preserve"> and interpretations periodically</w:t>
      </w:r>
      <w:r w:rsidR="008164C2" w:rsidRPr="005E667F">
        <w:rPr>
          <w:rStyle w:val="idf37"/>
          <w:rFonts w:asciiTheme="minorHAnsi" w:hAnsiTheme="minorHAnsi" w:cstheme="minorHAnsi"/>
          <w:color w:val="000000"/>
        </w:rPr>
        <w:t xml:space="preserve">, so readers are advised to check the </w:t>
      </w:r>
      <w:r w:rsidRPr="005E667F">
        <w:rPr>
          <w:rStyle w:val="idf37"/>
          <w:rFonts w:asciiTheme="minorHAnsi" w:hAnsiTheme="minorHAnsi" w:cstheme="minorHAnsi"/>
          <w:color w:val="000000"/>
        </w:rPr>
        <w:t>CFTC’s</w:t>
      </w:r>
      <w:r w:rsidR="008164C2" w:rsidRPr="005E667F">
        <w:rPr>
          <w:rStyle w:val="idf37"/>
          <w:rFonts w:asciiTheme="minorHAnsi" w:hAnsiTheme="minorHAnsi" w:cstheme="minorHAnsi"/>
          <w:color w:val="000000"/>
        </w:rPr>
        <w:t xml:space="preserve"> website and other authoritative sources to obtain current and complete regulations</w:t>
      </w:r>
      <w:r w:rsidR="00991B29">
        <w:rPr>
          <w:rStyle w:val="idf37"/>
          <w:rFonts w:asciiTheme="minorHAnsi" w:hAnsiTheme="minorHAnsi" w:cstheme="minorHAnsi"/>
          <w:color w:val="000000"/>
        </w:rPr>
        <w:t>, interpretations</w:t>
      </w:r>
      <w:r w:rsidR="008164C2" w:rsidRPr="005E667F">
        <w:rPr>
          <w:rStyle w:val="idf37"/>
          <w:rFonts w:asciiTheme="minorHAnsi" w:hAnsiTheme="minorHAnsi" w:cstheme="minorHAnsi"/>
          <w:color w:val="000000"/>
        </w:rPr>
        <w:t xml:space="preserve"> and </w:t>
      </w:r>
      <w:r w:rsidR="00991B29">
        <w:rPr>
          <w:rStyle w:val="idf37"/>
          <w:rFonts w:asciiTheme="minorHAnsi" w:hAnsiTheme="minorHAnsi" w:cstheme="minorHAnsi"/>
          <w:color w:val="000000"/>
        </w:rPr>
        <w:t>other regulatory guidance</w:t>
      </w:r>
      <w:r w:rsidR="007067A1">
        <w:rPr>
          <w:rStyle w:val="FootnoteReference"/>
          <w:rFonts w:asciiTheme="minorHAnsi" w:hAnsiTheme="minorHAnsi" w:cstheme="minorHAnsi"/>
          <w:color w:val="000000"/>
        </w:rPr>
        <w:footnoteReference w:id="1"/>
      </w:r>
      <w:r w:rsidR="008164C2" w:rsidRPr="005E667F">
        <w:rPr>
          <w:rStyle w:val="idf37"/>
          <w:rFonts w:asciiTheme="minorHAnsi" w:hAnsiTheme="minorHAnsi" w:cstheme="minorHAnsi"/>
          <w:color w:val="000000"/>
        </w:rPr>
        <w:t xml:space="preserve">. </w:t>
      </w:r>
    </w:p>
    <w:p w:rsidR="008164C2" w:rsidRDefault="008164C2" w:rsidP="00C84E5B">
      <w:pPr>
        <w:pStyle w:val="idf94"/>
        <w:jc w:val="both"/>
        <w:rPr>
          <w:rStyle w:val="idf37"/>
          <w:rFonts w:asciiTheme="minorHAnsi" w:hAnsiTheme="minorHAnsi" w:cstheme="minorHAnsi"/>
          <w:color w:val="000000"/>
        </w:rPr>
      </w:pPr>
      <w:r w:rsidRPr="005E667F">
        <w:rPr>
          <w:rStyle w:val="idf37"/>
          <w:rFonts w:asciiTheme="minorHAnsi" w:hAnsiTheme="minorHAnsi" w:cstheme="minorHAnsi"/>
          <w:color w:val="000000"/>
        </w:rPr>
        <w:t>Further, t</w:t>
      </w:r>
      <w:r w:rsidR="00991B29">
        <w:rPr>
          <w:rStyle w:val="idf37"/>
          <w:rFonts w:asciiTheme="minorHAnsi" w:hAnsiTheme="minorHAnsi" w:cstheme="minorHAnsi"/>
          <w:color w:val="000000"/>
        </w:rPr>
        <w:t>he various summaries</w:t>
      </w:r>
      <w:r w:rsidR="00C84E5B" w:rsidRPr="005E667F">
        <w:rPr>
          <w:rStyle w:val="idf37"/>
          <w:rFonts w:asciiTheme="minorHAnsi" w:hAnsiTheme="minorHAnsi" w:cstheme="minorHAnsi"/>
          <w:color w:val="000000"/>
        </w:rPr>
        <w:t xml:space="preserve"> contained herein</w:t>
      </w:r>
      <w:r w:rsidR="00991B29">
        <w:rPr>
          <w:rStyle w:val="idf37"/>
          <w:rFonts w:asciiTheme="minorHAnsi" w:hAnsiTheme="minorHAnsi" w:cstheme="minorHAnsi"/>
          <w:color w:val="000000"/>
        </w:rPr>
        <w:t>, including</w:t>
      </w:r>
      <w:r w:rsidRPr="005E667F">
        <w:rPr>
          <w:rStyle w:val="idf37"/>
          <w:rFonts w:asciiTheme="minorHAnsi" w:hAnsiTheme="minorHAnsi" w:cstheme="minorHAnsi"/>
          <w:color w:val="000000"/>
        </w:rPr>
        <w:t xml:space="preserve"> observations or recommendations expressed by the authors, do not constitute legal advi</w:t>
      </w:r>
      <w:r w:rsidR="00C84E5B" w:rsidRPr="005E667F">
        <w:rPr>
          <w:rStyle w:val="idf37"/>
          <w:rFonts w:asciiTheme="minorHAnsi" w:hAnsiTheme="minorHAnsi" w:cstheme="minorHAnsi"/>
          <w:color w:val="000000"/>
        </w:rPr>
        <w:t>ce</w:t>
      </w:r>
      <w:r w:rsidR="00991B29">
        <w:rPr>
          <w:rStyle w:val="idf37"/>
          <w:rFonts w:asciiTheme="minorHAnsi" w:hAnsiTheme="minorHAnsi" w:cstheme="minorHAnsi"/>
          <w:color w:val="000000"/>
        </w:rPr>
        <w:t xml:space="preserve"> in respect of any particular agreement, contract or transaction</w:t>
      </w:r>
      <w:r w:rsidRPr="005E667F">
        <w:rPr>
          <w:rStyle w:val="idf37"/>
          <w:rFonts w:asciiTheme="minorHAnsi" w:hAnsiTheme="minorHAnsi" w:cstheme="minorHAnsi"/>
          <w:color w:val="000000"/>
        </w:rPr>
        <w:t xml:space="preserve">. For specific guidance on particular matters, including regulatory and legal advice on the application of </w:t>
      </w:r>
      <w:r w:rsidR="00C84E5B" w:rsidRPr="005E667F">
        <w:rPr>
          <w:rStyle w:val="idf37"/>
          <w:rFonts w:asciiTheme="minorHAnsi" w:hAnsiTheme="minorHAnsi" w:cstheme="minorHAnsi"/>
          <w:color w:val="000000"/>
        </w:rPr>
        <w:t>the PDR, COR or the Dodd Frank Wall Street Ref</w:t>
      </w:r>
      <w:r w:rsidR="00EC2855" w:rsidRPr="005E667F">
        <w:rPr>
          <w:rStyle w:val="idf37"/>
          <w:rFonts w:asciiTheme="minorHAnsi" w:hAnsiTheme="minorHAnsi" w:cstheme="minorHAnsi"/>
          <w:color w:val="000000"/>
        </w:rPr>
        <w:t>orm and Consumer Protection Act</w:t>
      </w:r>
      <w:r w:rsidR="00C84E5B" w:rsidRPr="005E667F">
        <w:rPr>
          <w:rStyle w:val="idf37"/>
          <w:rFonts w:asciiTheme="minorHAnsi" w:hAnsiTheme="minorHAnsi" w:cstheme="minorHAnsi"/>
          <w:color w:val="000000"/>
        </w:rPr>
        <w:t xml:space="preserve"> </w:t>
      </w:r>
      <w:r w:rsidR="00684330">
        <w:rPr>
          <w:rStyle w:val="idf37"/>
          <w:rFonts w:asciiTheme="minorHAnsi" w:hAnsiTheme="minorHAnsi" w:cstheme="minorHAnsi"/>
          <w:color w:val="000000"/>
        </w:rPr>
        <w:t xml:space="preserve">(the “DFA”) </w:t>
      </w:r>
      <w:r w:rsidRPr="005E667F">
        <w:rPr>
          <w:rStyle w:val="idf37"/>
          <w:rFonts w:asciiTheme="minorHAnsi" w:hAnsiTheme="minorHAnsi" w:cstheme="minorHAnsi"/>
          <w:color w:val="000000"/>
        </w:rPr>
        <w:t>to particular issues and pr</w:t>
      </w:r>
      <w:r w:rsidR="00C84E5B" w:rsidRPr="005E667F">
        <w:rPr>
          <w:rStyle w:val="idf37"/>
          <w:rFonts w:asciiTheme="minorHAnsi" w:hAnsiTheme="minorHAnsi" w:cstheme="minorHAnsi"/>
          <w:color w:val="000000"/>
        </w:rPr>
        <w:t xml:space="preserve">oducts, you should seek further advice and counsel from Reed Smith LLP or other </w:t>
      </w:r>
      <w:r w:rsidRPr="005E667F">
        <w:rPr>
          <w:rStyle w:val="idf37"/>
          <w:rFonts w:asciiTheme="minorHAnsi" w:hAnsiTheme="minorHAnsi" w:cstheme="minorHAnsi"/>
          <w:color w:val="000000"/>
        </w:rPr>
        <w:t>lawyers and professionals who are f</w:t>
      </w:r>
      <w:r w:rsidR="00EC2855" w:rsidRPr="005E667F">
        <w:rPr>
          <w:rStyle w:val="idf37"/>
          <w:rFonts w:asciiTheme="minorHAnsi" w:hAnsiTheme="minorHAnsi" w:cstheme="minorHAnsi"/>
          <w:color w:val="000000"/>
        </w:rPr>
        <w:t>amiliar an</w:t>
      </w:r>
      <w:r w:rsidR="00991B29">
        <w:rPr>
          <w:rStyle w:val="idf37"/>
          <w:rFonts w:asciiTheme="minorHAnsi" w:hAnsiTheme="minorHAnsi" w:cstheme="minorHAnsi"/>
          <w:color w:val="000000"/>
        </w:rPr>
        <w:t>d experienced with the relevant</w:t>
      </w:r>
      <w:r w:rsidR="00EC2855" w:rsidRPr="005E667F">
        <w:rPr>
          <w:rStyle w:val="idf37"/>
          <w:rFonts w:asciiTheme="minorHAnsi" w:hAnsiTheme="minorHAnsi" w:cstheme="minorHAnsi"/>
          <w:color w:val="000000"/>
        </w:rPr>
        <w:t xml:space="preserve"> </w:t>
      </w:r>
      <w:r w:rsidR="00991B29">
        <w:rPr>
          <w:rStyle w:val="idf37"/>
          <w:rFonts w:asciiTheme="minorHAnsi" w:hAnsiTheme="minorHAnsi" w:cstheme="minorHAnsi"/>
          <w:color w:val="000000"/>
        </w:rPr>
        <w:t xml:space="preserve">laws, </w:t>
      </w:r>
      <w:r w:rsidR="00C84E5B" w:rsidRPr="005E667F">
        <w:rPr>
          <w:rStyle w:val="idf37"/>
          <w:rFonts w:asciiTheme="minorHAnsi" w:hAnsiTheme="minorHAnsi" w:cstheme="minorHAnsi"/>
          <w:color w:val="000000"/>
        </w:rPr>
        <w:t>regulations</w:t>
      </w:r>
      <w:r w:rsidR="00991B29">
        <w:rPr>
          <w:rStyle w:val="idf37"/>
          <w:rFonts w:asciiTheme="minorHAnsi" w:hAnsiTheme="minorHAnsi" w:cstheme="minorHAnsi"/>
          <w:color w:val="000000"/>
        </w:rPr>
        <w:t xml:space="preserve"> and CFTC precedent. In all cases, the CFTC reserves the right to consider the facts and circumstances involving any particular agreement</w:t>
      </w:r>
      <w:r w:rsidR="007067A1">
        <w:rPr>
          <w:rStyle w:val="idf37"/>
          <w:rFonts w:asciiTheme="minorHAnsi" w:hAnsiTheme="minorHAnsi" w:cstheme="minorHAnsi"/>
          <w:color w:val="000000"/>
        </w:rPr>
        <w:t>, contract</w:t>
      </w:r>
      <w:r w:rsidR="00991B29">
        <w:rPr>
          <w:rStyle w:val="idf37"/>
          <w:rFonts w:asciiTheme="minorHAnsi" w:hAnsiTheme="minorHAnsi" w:cstheme="minorHAnsi"/>
          <w:color w:val="000000"/>
        </w:rPr>
        <w:t xml:space="preserve"> or transaction. </w:t>
      </w:r>
    </w:p>
    <w:p w:rsidR="00292A68" w:rsidRPr="005906C6" w:rsidRDefault="00292A68" w:rsidP="00292A68">
      <w:pPr>
        <w:pStyle w:val="Heading1"/>
      </w:pPr>
      <w:r w:rsidRPr="00292A68">
        <w:rPr>
          <w:b/>
        </w:rPr>
        <w:t xml:space="preserve">The Proposed Not-For-Profit </w:t>
      </w:r>
      <w:r w:rsidR="00664DE5">
        <w:rPr>
          <w:b/>
        </w:rPr>
        <w:t xml:space="preserve">Electrics </w:t>
      </w:r>
      <w:r w:rsidRPr="00292A68">
        <w:rPr>
          <w:b/>
        </w:rPr>
        <w:t>Order</w:t>
      </w:r>
      <w:r>
        <w:t>.</w:t>
      </w:r>
      <w:r>
        <w:rPr>
          <w:rStyle w:val="FootnoteReference"/>
        </w:rPr>
        <w:footnoteReference w:id="2"/>
      </w:r>
      <w:r>
        <w:t xml:space="preserve">  </w:t>
      </w:r>
    </w:p>
    <w:tbl>
      <w:tblPr>
        <w:tblStyle w:val="TableGrid"/>
        <w:tblW w:w="0" w:type="auto"/>
        <w:tblLook w:val="04A0" w:firstRow="1" w:lastRow="0" w:firstColumn="1" w:lastColumn="0" w:noHBand="0" w:noVBand="1"/>
      </w:tblPr>
      <w:tblGrid>
        <w:gridCol w:w="1728"/>
        <w:gridCol w:w="7848"/>
      </w:tblGrid>
      <w:tr w:rsidR="00292A68" w:rsidRPr="005E667F" w:rsidTr="00292A68">
        <w:tc>
          <w:tcPr>
            <w:tcW w:w="1728" w:type="dxa"/>
            <w:shd w:val="pct12" w:color="auto" w:fill="auto"/>
          </w:tcPr>
          <w:p w:rsidR="00292A68" w:rsidRPr="005E667F" w:rsidRDefault="00292A68" w:rsidP="00292A68">
            <w:pPr>
              <w:pStyle w:val="RSBodyText"/>
              <w:rPr>
                <w:rFonts w:asciiTheme="minorHAnsi" w:hAnsiTheme="minorHAnsi" w:cstheme="minorHAnsi"/>
                <w:b/>
              </w:rPr>
            </w:pPr>
            <w:r w:rsidRPr="005E667F">
              <w:rPr>
                <w:rFonts w:asciiTheme="minorHAnsi" w:hAnsiTheme="minorHAnsi" w:cstheme="minorHAnsi"/>
                <w:b/>
              </w:rPr>
              <w:t>Acceptable Parties</w:t>
            </w:r>
          </w:p>
        </w:tc>
        <w:tc>
          <w:tcPr>
            <w:tcW w:w="7848" w:type="dxa"/>
          </w:tcPr>
          <w:p w:rsidR="00292A68" w:rsidRDefault="00292A68" w:rsidP="00292A68">
            <w:pPr>
              <w:autoSpaceDE w:val="0"/>
              <w:autoSpaceDN w:val="0"/>
              <w:adjustRightInd w:val="0"/>
              <w:rPr>
                <w:rFonts w:asciiTheme="minorHAnsi" w:hAnsiTheme="minorHAnsi" w:cstheme="minorHAnsi"/>
              </w:rPr>
            </w:pPr>
            <w:r w:rsidRPr="0082037C">
              <w:rPr>
                <w:rFonts w:asciiTheme="minorHAnsi" w:hAnsiTheme="minorHAnsi" w:cstheme="minorHAnsi"/>
              </w:rPr>
              <w:t>1. Government-owned electric utilities descri</w:t>
            </w:r>
            <w:r>
              <w:rPr>
                <w:rFonts w:asciiTheme="minorHAnsi" w:hAnsiTheme="minorHAnsi" w:cstheme="minorHAnsi"/>
              </w:rPr>
              <w:t>bed by Section 201(f) of the Federal Power Act (the “FPA”) NFP Order at 51003.</w:t>
            </w:r>
          </w:p>
          <w:p w:rsidR="00292A68" w:rsidRPr="0082037C" w:rsidRDefault="00292A68" w:rsidP="00292A68">
            <w:pPr>
              <w:autoSpaceDE w:val="0"/>
              <w:autoSpaceDN w:val="0"/>
              <w:adjustRightInd w:val="0"/>
              <w:rPr>
                <w:rFonts w:asciiTheme="minorHAnsi" w:hAnsiTheme="minorHAnsi" w:cstheme="minorHAnsi"/>
              </w:rPr>
            </w:pPr>
          </w:p>
          <w:p w:rsidR="00292A68" w:rsidRDefault="00292A68" w:rsidP="00292A68">
            <w:pPr>
              <w:autoSpaceDE w:val="0"/>
              <w:autoSpaceDN w:val="0"/>
              <w:adjustRightInd w:val="0"/>
              <w:rPr>
                <w:rFonts w:asciiTheme="minorHAnsi" w:hAnsiTheme="minorHAnsi" w:cstheme="minorHAnsi"/>
              </w:rPr>
            </w:pPr>
            <w:r w:rsidRPr="0082037C">
              <w:rPr>
                <w:rFonts w:asciiTheme="minorHAnsi" w:hAnsiTheme="minorHAnsi" w:cstheme="minorHAnsi"/>
              </w:rPr>
              <w:t xml:space="preserve">2.  Electric utilities owned by </w:t>
            </w:r>
            <w:r>
              <w:rPr>
                <w:rFonts w:asciiTheme="minorHAnsi" w:hAnsiTheme="minorHAnsi" w:cstheme="minorHAnsi"/>
              </w:rPr>
              <w:t>Native American</w:t>
            </w:r>
            <w:r w:rsidRPr="0082037C">
              <w:rPr>
                <w:rFonts w:asciiTheme="minorHAnsi" w:hAnsiTheme="minorHAnsi" w:cstheme="minorHAnsi"/>
              </w:rPr>
              <w:t xml:space="preserve"> tribes</w:t>
            </w:r>
            <w:r>
              <w:rPr>
                <w:rFonts w:asciiTheme="minorHAnsi" w:hAnsiTheme="minorHAnsi" w:cstheme="minorHAnsi"/>
              </w:rPr>
              <w:t xml:space="preserve"> recognized by the Federal Government</w:t>
            </w:r>
            <w:r w:rsidRPr="0082037C">
              <w:rPr>
                <w:rFonts w:asciiTheme="minorHAnsi" w:hAnsiTheme="minorHAnsi" w:cstheme="minorHAnsi"/>
              </w:rPr>
              <w:t>, otherwise subject</w:t>
            </w:r>
            <w:r>
              <w:rPr>
                <w:rFonts w:asciiTheme="minorHAnsi" w:hAnsiTheme="minorHAnsi" w:cstheme="minorHAnsi"/>
              </w:rPr>
              <w:t xml:space="preserve"> </w:t>
            </w:r>
            <w:r w:rsidRPr="0082037C">
              <w:rPr>
                <w:rFonts w:asciiTheme="minorHAnsi" w:hAnsiTheme="minorHAnsi" w:cstheme="minorHAnsi"/>
              </w:rPr>
              <w:t>to regulation as public utilities under the FPA</w:t>
            </w:r>
            <w:r>
              <w:rPr>
                <w:rFonts w:asciiTheme="minorHAnsi" w:hAnsiTheme="minorHAnsi" w:cstheme="minorHAnsi"/>
              </w:rPr>
              <w:t>. NFP Order at 51003.</w:t>
            </w:r>
          </w:p>
          <w:p w:rsidR="00292A68" w:rsidRPr="0082037C" w:rsidRDefault="00292A68" w:rsidP="00292A68">
            <w:pPr>
              <w:autoSpaceDE w:val="0"/>
              <w:autoSpaceDN w:val="0"/>
              <w:adjustRightInd w:val="0"/>
              <w:rPr>
                <w:rFonts w:asciiTheme="minorHAnsi" w:hAnsiTheme="minorHAnsi" w:cstheme="minorHAnsi"/>
              </w:rPr>
            </w:pPr>
          </w:p>
          <w:p w:rsidR="00292A68" w:rsidRDefault="00292A68" w:rsidP="00292A68">
            <w:pPr>
              <w:autoSpaceDE w:val="0"/>
              <w:autoSpaceDN w:val="0"/>
              <w:adjustRightInd w:val="0"/>
              <w:rPr>
                <w:rFonts w:asciiTheme="minorHAnsi" w:hAnsiTheme="minorHAnsi" w:cstheme="minorHAnsi"/>
              </w:rPr>
            </w:pPr>
            <w:r w:rsidRPr="0082037C">
              <w:rPr>
                <w:rFonts w:asciiTheme="minorHAnsi" w:hAnsiTheme="minorHAnsi" w:cstheme="minorHAnsi"/>
              </w:rPr>
              <w:t>3.  Cooperatively-owned electric utilities, regardles</w:t>
            </w:r>
            <w:r>
              <w:rPr>
                <w:rFonts w:asciiTheme="minorHAnsi" w:hAnsiTheme="minorHAnsi" w:cstheme="minorHAnsi"/>
              </w:rPr>
              <w:t xml:space="preserve">s of whether such utilities are </w:t>
            </w:r>
            <w:r w:rsidRPr="0082037C">
              <w:rPr>
                <w:rFonts w:asciiTheme="minorHAnsi" w:hAnsiTheme="minorHAnsi" w:cstheme="minorHAnsi"/>
              </w:rPr>
              <w:t>described by FPA section 201(f), so long as</w:t>
            </w:r>
            <w:r>
              <w:rPr>
                <w:rFonts w:asciiTheme="minorHAnsi" w:hAnsiTheme="minorHAnsi" w:cstheme="minorHAnsi"/>
              </w:rPr>
              <w:t xml:space="preserve"> (a) </w:t>
            </w:r>
            <w:r w:rsidRPr="0082037C">
              <w:rPr>
                <w:rFonts w:asciiTheme="minorHAnsi" w:hAnsiTheme="minorHAnsi" w:cstheme="minorHAnsi"/>
              </w:rPr>
              <w:t xml:space="preserve"> they are treated as cooperative</w:t>
            </w:r>
            <w:r>
              <w:rPr>
                <w:rFonts w:asciiTheme="minorHAnsi" w:hAnsiTheme="minorHAnsi" w:cstheme="minorHAnsi"/>
              </w:rPr>
              <w:t xml:space="preserve"> </w:t>
            </w:r>
            <w:r w:rsidRPr="0082037C">
              <w:rPr>
                <w:rFonts w:asciiTheme="minorHAnsi" w:hAnsiTheme="minorHAnsi" w:cstheme="minorHAnsi"/>
              </w:rPr>
              <w:t xml:space="preserve">organizations under the Internal Revenue Code and </w:t>
            </w:r>
            <w:r>
              <w:rPr>
                <w:rFonts w:asciiTheme="minorHAnsi" w:hAnsiTheme="minorHAnsi" w:cstheme="minorHAnsi"/>
              </w:rPr>
              <w:t xml:space="preserve">(b) </w:t>
            </w:r>
            <w:r w:rsidRPr="0082037C">
              <w:rPr>
                <w:rFonts w:asciiTheme="minorHAnsi" w:hAnsiTheme="minorHAnsi" w:cstheme="minorHAnsi"/>
              </w:rPr>
              <w:t xml:space="preserve">exist for </w:t>
            </w:r>
            <w:r>
              <w:rPr>
                <w:rFonts w:asciiTheme="minorHAnsi" w:hAnsiTheme="minorHAnsi" w:cstheme="minorHAnsi"/>
              </w:rPr>
              <w:t xml:space="preserve">the primary purpose </w:t>
            </w:r>
            <w:r w:rsidRPr="0082037C">
              <w:rPr>
                <w:rFonts w:asciiTheme="minorHAnsi" w:hAnsiTheme="minorHAnsi" w:cstheme="minorHAnsi"/>
              </w:rPr>
              <w:t xml:space="preserve">of providing electric energy service to its member/owner </w:t>
            </w:r>
            <w:r w:rsidRPr="0082037C">
              <w:rPr>
                <w:rFonts w:asciiTheme="minorHAnsi" w:hAnsiTheme="minorHAnsi" w:cstheme="minorHAnsi"/>
              </w:rPr>
              <w:lastRenderedPageBreak/>
              <w:t>customers at the lowest</w:t>
            </w:r>
            <w:r>
              <w:rPr>
                <w:rFonts w:asciiTheme="minorHAnsi" w:hAnsiTheme="minorHAnsi" w:cstheme="minorHAnsi"/>
              </w:rPr>
              <w:t xml:space="preserve"> </w:t>
            </w:r>
            <w:r w:rsidRPr="0082037C">
              <w:rPr>
                <w:rFonts w:asciiTheme="minorHAnsi" w:hAnsiTheme="minorHAnsi" w:cstheme="minorHAnsi"/>
              </w:rPr>
              <w:t>cost possible</w:t>
            </w:r>
            <w:r>
              <w:rPr>
                <w:rFonts w:asciiTheme="minorHAnsi" w:hAnsiTheme="minorHAnsi" w:cstheme="minorHAnsi"/>
              </w:rPr>
              <w:t>. NFP Order at 51003.</w:t>
            </w:r>
          </w:p>
          <w:p w:rsidR="00292A68" w:rsidRPr="0082037C" w:rsidRDefault="00292A68" w:rsidP="00292A68">
            <w:pPr>
              <w:autoSpaceDE w:val="0"/>
              <w:autoSpaceDN w:val="0"/>
              <w:adjustRightInd w:val="0"/>
              <w:rPr>
                <w:rFonts w:asciiTheme="minorHAnsi" w:hAnsiTheme="minorHAnsi" w:cstheme="minorHAnsi"/>
              </w:rPr>
            </w:pPr>
          </w:p>
          <w:p w:rsidR="00292A68" w:rsidRPr="005E667F" w:rsidRDefault="00292A68" w:rsidP="00292A68">
            <w:pPr>
              <w:autoSpaceDE w:val="0"/>
              <w:autoSpaceDN w:val="0"/>
              <w:adjustRightInd w:val="0"/>
              <w:rPr>
                <w:rFonts w:asciiTheme="minorHAnsi" w:hAnsiTheme="minorHAnsi" w:cstheme="minorHAnsi"/>
              </w:rPr>
            </w:pPr>
            <w:r w:rsidRPr="0082037C">
              <w:rPr>
                <w:rFonts w:asciiTheme="minorHAnsi" w:hAnsiTheme="minorHAnsi" w:cstheme="minorHAnsi"/>
              </w:rPr>
              <w:t>4. Any not-for-profit wholly owned, direct</w:t>
            </w:r>
            <w:r>
              <w:rPr>
                <w:rFonts w:asciiTheme="minorHAnsi" w:hAnsiTheme="minorHAnsi" w:cstheme="minorHAnsi"/>
              </w:rPr>
              <w:t>ly or indirectly, subsidiary of one or more of the foregoing. NFP Order at 51003.</w:t>
            </w:r>
          </w:p>
        </w:tc>
      </w:tr>
      <w:tr w:rsidR="00292A68" w:rsidRPr="005E667F" w:rsidTr="00292A68">
        <w:tc>
          <w:tcPr>
            <w:tcW w:w="1728" w:type="dxa"/>
            <w:shd w:val="pct12" w:color="auto" w:fill="auto"/>
          </w:tcPr>
          <w:p w:rsidR="00292A68" w:rsidRPr="005E667F" w:rsidRDefault="00292A68" w:rsidP="00292A68">
            <w:pPr>
              <w:pStyle w:val="RSBodyText"/>
              <w:rPr>
                <w:rFonts w:asciiTheme="minorHAnsi" w:hAnsiTheme="minorHAnsi" w:cstheme="minorHAnsi"/>
                <w:b/>
              </w:rPr>
            </w:pPr>
            <w:r>
              <w:rPr>
                <w:rFonts w:asciiTheme="minorHAnsi" w:hAnsiTheme="minorHAnsi" w:cstheme="minorHAnsi"/>
                <w:b/>
              </w:rPr>
              <w:lastRenderedPageBreak/>
              <w:t xml:space="preserve">Exempted Transactions </w:t>
            </w:r>
          </w:p>
        </w:tc>
        <w:tc>
          <w:tcPr>
            <w:tcW w:w="7848" w:type="dxa"/>
          </w:tcPr>
          <w:p w:rsidR="00664DE5" w:rsidRDefault="00664DE5" w:rsidP="00292A68">
            <w:pPr>
              <w:autoSpaceDE w:val="0"/>
              <w:autoSpaceDN w:val="0"/>
              <w:adjustRightInd w:val="0"/>
              <w:jc w:val="both"/>
              <w:rPr>
                <w:rFonts w:asciiTheme="minorHAnsi" w:hAnsiTheme="minorHAnsi" w:cstheme="minorHAnsi"/>
              </w:rPr>
            </w:pPr>
            <w:r w:rsidRPr="00664DE5">
              <w:rPr>
                <w:rFonts w:eastAsiaTheme="majorEastAsia" w:cs="Times New Roman"/>
                <w:bCs/>
                <w:color w:val="000000"/>
                <w:szCs w:val="28"/>
              </w:rPr>
              <w:t>Note that an exempt transaction must be “between or amongst” NFP Electric Entities</w:t>
            </w:r>
            <w:r w:rsidRPr="00664DE5">
              <w:t>.</w:t>
            </w:r>
          </w:p>
          <w:p w:rsidR="00664DE5" w:rsidRDefault="00664DE5" w:rsidP="00292A68">
            <w:pPr>
              <w:autoSpaceDE w:val="0"/>
              <w:autoSpaceDN w:val="0"/>
              <w:adjustRightInd w:val="0"/>
              <w:jc w:val="both"/>
              <w:rPr>
                <w:rFonts w:asciiTheme="minorHAnsi" w:hAnsiTheme="minorHAnsi" w:cstheme="minorHAnsi"/>
              </w:rPr>
            </w:pPr>
          </w:p>
          <w:p w:rsidR="00292A68" w:rsidRDefault="00292A68" w:rsidP="00292A68">
            <w:pPr>
              <w:autoSpaceDE w:val="0"/>
              <w:autoSpaceDN w:val="0"/>
              <w:adjustRightInd w:val="0"/>
              <w:jc w:val="both"/>
              <w:rPr>
                <w:rFonts w:asciiTheme="minorHAnsi" w:hAnsiTheme="minorHAnsi" w:cstheme="minorHAnsi"/>
              </w:rPr>
            </w:pPr>
            <w:r>
              <w:rPr>
                <w:rFonts w:asciiTheme="minorHAnsi" w:hAnsiTheme="minorHAnsi" w:cstheme="minorHAnsi"/>
              </w:rPr>
              <w:t>N</w:t>
            </w:r>
            <w:r w:rsidRPr="0082037C">
              <w:rPr>
                <w:rFonts w:asciiTheme="minorHAnsi" w:hAnsiTheme="minorHAnsi" w:cstheme="minorHAnsi"/>
              </w:rPr>
              <w:t>on</w:t>
            </w:r>
            <w:r>
              <w:rPr>
                <w:rFonts w:asciiTheme="minorHAnsi" w:hAnsiTheme="minorHAnsi" w:cstheme="minorHAnsi"/>
              </w:rPr>
              <w:t>- Financial Energy Transactions that are: (a</w:t>
            </w:r>
            <w:r w:rsidRPr="0082037C">
              <w:rPr>
                <w:rFonts w:asciiTheme="minorHAnsi" w:hAnsiTheme="minorHAnsi" w:cstheme="minorHAnsi"/>
              </w:rPr>
              <w:t>) based upon a commodity (</w:t>
            </w:r>
            <w:r>
              <w:rPr>
                <w:rFonts w:asciiTheme="minorHAnsi" w:hAnsiTheme="minorHAnsi" w:cstheme="minorHAnsi"/>
              </w:rPr>
              <w:t>as defined by the CEA) where (b</w:t>
            </w:r>
            <w:r w:rsidRPr="0082037C">
              <w:rPr>
                <w:rFonts w:asciiTheme="minorHAnsi" w:hAnsiTheme="minorHAnsi" w:cstheme="minorHAnsi"/>
              </w:rPr>
              <w:t>) the primary purpose of the transaction is to satisfy existing or anticipated contractual obligations to facilitate the generation, transmission, and/or delivery of electric energy service to customers at t</w:t>
            </w:r>
            <w:r>
              <w:rPr>
                <w:rFonts w:asciiTheme="minorHAnsi" w:hAnsiTheme="minorHAnsi" w:cstheme="minorHAnsi"/>
              </w:rPr>
              <w:t xml:space="preserve">he lowest cost possible and (c) such </w:t>
            </w:r>
            <w:r w:rsidRPr="0082037C">
              <w:rPr>
                <w:rFonts w:asciiTheme="minorHAnsi" w:hAnsiTheme="minorHAnsi" w:cstheme="minorHAnsi"/>
              </w:rPr>
              <w:t>transaction is intended for making or taking physical delivery of the commodity upon which the transaction is based</w:t>
            </w:r>
            <w:r>
              <w:rPr>
                <w:rFonts w:asciiTheme="minorHAnsi" w:hAnsiTheme="minorHAnsi" w:cstheme="minorHAnsi"/>
              </w:rPr>
              <w:t xml:space="preserve"> are exempt. NFP Order at 51012.</w:t>
            </w:r>
          </w:p>
          <w:p w:rsidR="00292A68" w:rsidRPr="005E667F" w:rsidRDefault="00292A68" w:rsidP="00292A68">
            <w:pPr>
              <w:autoSpaceDE w:val="0"/>
              <w:autoSpaceDN w:val="0"/>
              <w:adjustRightInd w:val="0"/>
              <w:jc w:val="both"/>
              <w:rPr>
                <w:rFonts w:asciiTheme="minorHAnsi" w:hAnsiTheme="minorHAnsi" w:cstheme="minorHAnsi"/>
              </w:rPr>
            </w:pPr>
          </w:p>
        </w:tc>
      </w:tr>
      <w:tr w:rsidR="00292A68" w:rsidRPr="005E667F" w:rsidTr="00292A68">
        <w:tc>
          <w:tcPr>
            <w:tcW w:w="1728" w:type="dxa"/>
            <w:shd w:val="pct12" w:color="auto" w:fill="auto"/>
          </w:tcPr>
          <w:p w:rsidR="00292A68" w:rsidRPr="005E667F" w:rsidRDefault="00292A68" w:rsidP="00292A68">
            <w:pPr>
              <w:pStyle w:val="RSBodyText"/>
              <w:rPr>
                <w:rFonts w:asciiTheme="minorHAnsi" w:hAnsiTheme="minorHAnsi" w:cstheme="minorHAnsi"/>
                <w:b/>
              </w:rPr>
            </w:pPr>
            <w:r>
              <w:rPr>
                <w:rFonts w:asciiTheme="minorHAnsi" w:hAnsiTheme="minorHAnsi" w:cstheme="minorHAnsi"/>
                <w:b/>
              </w:rPr>
              <w:t>Non-exempt transactions</w:t>
            </w:r>
          </w:p>
        </w:tc>
        <w:tc>
          <w:tcPr>
            <w:tcW w:w="7848" w:type="dxa"/>
          </w:tcPr>
          <w:p w:rsidR="00292A68" w:rsidRDefault="00292A68" w:rsidP="00292A68">
            <w:pPr>
              <w:autoSpaceDE w:val="0"/>
              <w:autoSpaceDN w:val="0"/>
              <w:adjustRightInd w:val="0"/>
              <w:rPr>
                <w:rFonts w:cs="Times New Roman"/>
              </w:rPr>
            </w:pPr>
            <w:r>
              <w:rPr>
                <w:rFonts w:cs="Times New Roman"/>
              </w:rPr>
              <w:t xml:space="preserve">1. </w:t>
            </w:r>
            <w:r w:rsidRPr="0082335F">
              <w:rPr>
                <w:rFonts w:cs="Times New Roman"/>
              </w:rPr>
              <w:t>Transactions derived from any interest rate, credit, equity or currency asset class, or any grade of a metal, agricultural product, crude oil or gasoline that is not used as fuel for electric energy generation.</w:t>
            </w:r>
            <w:r>
              <w:rPr>
                <w:rFonts w:cs="Times New Roman"/>
              </w:rPr>
              <w:t xml:space="preserve"> </w:t>
            </w:r>
            <w:r>
              <w:rPr>
                <w:rFonts w:asciiTheme="minorHAnsi" w:hAnsiTheme="minorHAnsi" w:cstheme="minorHAnsi"/>
              </w:rPr>
              <w:t>NFP Order at 51001.</w:t>
            </w:r>
          </w:p>
          <w:p w:rsidR="00292A68" w:rsidRDefault="00292A68" w:rsidP="00292A68">
            <w:pPr>
              <w:autoSpaceDE w:val="0"/>
              <w:autoSpaceDN w:val="0"/>
              <w:adjustRightInd w:val="0"/>
              <w:rPr>
                <w:rFonts w:cs="Times New Roman"/>
              </w:rPr>
            </w:pPr>
          </w:p>
          <w:p w:rsidR="00292A68" w:rsidRPr="0082335F" w:rsidRDefault="00292A68" w:rsidP="00292A68">
            <w:pPr>
              <w:autoSpaceDE w:val="0"/>
              <w:autoSpaceDN w:val="0"/>
              <w:adjustRightInd w:val="0"/>
              <w:rPr>
                <w:rFonts w:asciiTheme="minorHAnsi" w:hAnsiTheme="minorHAnsi" w:cstheme="minorHAnsi"/>
              </w:rPr>
            </w:pPr>
            <w:r>
              <w:rPr>
                <w:rFonts w:cs="Times New Roman"/>
              </w:rPr>
              <w:t>2</w:t>
            </w:r>
            <w:r w:rsidRPr="0082335F">
              <w:rPr>
                <w:rFonts w:asciiTheme="minorHAnsi" w:hAnsiTheme="minorHAnsi" w:cstheme="minorHAnsi"/>
              </w:rPr>
              <w:t>. Environmental rights contracts, allowances or attributes. Note</w:t>
            </w:r>
            <w:r>
              <w:rPr>
                <w:rFonts w:asciiTheme="minorHAnsi" w:hAnsiTheme="minorHAnsi" w:cstheme="minorHAnsi"/>
              </w:rPr>
              <w:t>,</w:t>
            </w:r>
            <w:r w:rsidRPr="0082335F">
              <w:rPr>
                <w:rFonts w:asciiTheme="minorHAnsi" w:hAnsiTheme="minorHAnsi" w:cstheme="minorHAnsi"/>
              </w:rPr>
              <w:t xml:space="preserve"> however</w:t>
            </w:r>
            <w:r>
              <w:rPr>
                <w:rFonts w:asciiTheme="minorHAnsi" w:hAnsiTheme="minorHAnsi" w:cstheme="minorHAnsi"/>
              </w:rPr>
              <w:t>,</w:t>
            </w:r>
            <w:r w:rsidRPr="0082335F">
              <w:rPr>
                <w:rFonts w:asciiTheme="minorHAnsi" w:hAnsiTheme="minorHAnsi" w:cstheme="minorHAnsi"/>
              </w:rPr>
              <w:t xml:space="preserve"> that these arrangements are nonetheless exempt from many requirements of the CEA because they would be covered under by the forward exclusion from the swap definition.</w:t>
            </w:r>
            <w:r>
              <w:rPr>
                <w:rFonts w:asciiTheme="minorHAnsi" w:hAnsiTheme="minorHAnsi" w:cstheme="minorHAnsi"/>
              </w:rPr>
              <w:t xml:space="preserve"> NFP Order at 51003.</w:t>
            </w:r>
          </w:p>
        </w:tc>
      </w:tr>
    </w:tbl>
    <w:p w:rsidR="00292A68" w:rsidRDefault="00292A68" w:rsidP="00292A68">
      <w:pPr>
        <w:pStyle w:val="RSBodyText"/>
      </w:pPr>
    </w:p>
    <w:p w:rsidR="00292A68" w:rsidRDefault="00292A68" w:rsidP="00292A68">
      <w:pPr>
        <w:pStyle w:val="Heading1"/>
      </w:pPr>
      <w:r w:rsidRPr="00292A68">
        <w:rPr>
          <w:b/>
        </w:rPr>
        <w:t>Proposed RTO Order</w:t>
      </w:r>
      <w:r w:rsidRPr="00292A68">
        <w:t>.</w:t>
      </w:r>
      <w:r>
        <w:rPr>
          <w:rStyle w:val="FootnoteReference"/>
        </w:rPr>
        <w:footnoteReference w:id="3"/>
      </w:r>
      <w:r>
        <w:t xml:space="preserve"> </w:t>
      </w:r>
    </w:p>
    <w:tbl>
      <w:tblPr>
        <w:tblStyle w:val="TableGrid"/>
        <w:tblW w:w="0" w:type="auto"/>
        <w:tblLook w:val="04A0" w:firstRow="1" w:lastRow="0" w:firstColumn="1" w:lastColumn="0" w:noHBand="0" w:noVBand="1"/>
      </w:tblPr>
      <w:tblGrid>
        <w:gridCol w:w="1728"/>
        <w:gridCol w:w="7848"/>
      </w:tblGrid>
      <w:tr w:rsidR="00292A68" w:rsidRPr="005E667F" w:rsidTr="00292A68">
        <w:tc>
          <w:tcPr>
            <w:tcW w:w="1728" w:type="dxa"/>
            <w:shd w:val="pct12" w:color="auto" w:fill="auto"/>
          </w:tcPr>
          <w:p w:rsidR="00292A68" w:rsidRPr="005E667F" w:rsidRDefault="00292A68" w:rsidP="00292A68">
            <w:pPr>
              <w:pStyle w:val="RSBodyText"/>
              <w:rPr>
                <w:rFonts w:asciiTheme="minorHAnsi" w:hAnsiTheme="minorHAnsi" w:cstheme="minorHAnsi"/>
                <w:b/>
              </w:rPr>
            </w:pPr>
            <w:r w:rsidRPr="005E667F">
              <w:rPr>
                <w:rFonts w:asciiTheme="minorHAnsi" w:hAnsiTheme="minorHAnsi" w:cstheme="minorHAnsi"/>
                <w:b/>
              </w:rPr>
              <w:t>Acceptable Parties</w:t>
            </w:r>
          </w:p>
        </w:tc>
        <w:tc>
          <w:tcPr>
            <w:tcW w:w="7848" w:type="dxa"/>
          </w:tcPr>
          <w:p w:rsidR="00292A68" w:rsidRPr="000B6E21" w:rsidRDefault="00292A68" w:rsidP="00292A68">
            <w:pPr>
              <w:autoSpaceDE w:val="0"/>
              <w:autoSpaceDN w:val="0"/>
              <w:adjustRightInd w:val="0"/>
              <w:rPr>
                <w:rFonts w:asciiTheme="minorHAnsi" w:hAnsiTheme="minorHAnsi" w:cstheme="minorHAnsi"/>
              </w:rPr>
            </w:pPr>
            <w:r w:rsidRPr="000B6E21">
              <w:rPr>
                <w:rFonts w:asciiTheme="minorHAnsi" w:hAnsiTheme="minorHAnsi" w:cstheme="minorHAnsi"/>
              </w:rPr>
              <w:t xml:space="preserve">Each party to the applicable agreement, contract or transaction must be </w:t>
            </w:r>
            <w:r>
              <w:rPr>
                <w:rFonts w:asciiTheme="minorHAnsi" w:hAnsiTheme="minorHAnsi" w:cstheme="minorHAnsi"/>
              </w:rPr>
              <w:t xml:space="preserve">an </w:t>
            </w:r>
            <w:r w:rsidRPr="000B6E21">
              <w:rPr>
                <w:rFonts w:asciiTheme="minorHAnsi" w:hAnsiTheme="minorHAnsi" w:cstheme="minorHAnsi"/>
              </w:rPr>
              <w:t>“appropriate person,” as defined in Sections 4(c)(3)(A) through (J) of the CEA or an “eligible</w:t>
            </w:r>
            <w:r>
              <w:rPr>
                <w:rFonts w:asciiTheme="minorHAnsi" w:hAnsiTheme="minorHAnsi" w:cstheme="minorHAnsi"/>
              </w:rPr>
              <w:t xml:space="preserve"> </w:t>
            </w:r>
            <w:r w:rsidRPr="000B6E21">
              <w:rPr>
                <w:rFonts w:asciiTheme="minorHAnsi" w:hAnsiTheme="minorHAnsi" w:cstheme="minorHAnsi"/>
              </w:rPr>
              <w:t>contract participant,” as defined in section 1a(18)(A) of the CEA and in CFTC</w:t>
            </w:r>
            <w:r>
              <w:rPr>
                <w:rFonts w:asciiTheme="minorHAnsi" w:hAnsiTheme="minorHAnsi" w:cstheme="minorHAnsi"/>
              </w:rPr>
              <w:t xml:space="preserve"> </w:t>
            </w:r>
            <w:r w:rsidRPr="000B6E21">
              <w:rPr>
                <w:rFonts w:asciiTheme="minorHAnsi" w:hAnsiTheme="minorHAnsi" w:cstheme="minorHAnsi"/>
              </w:rPr>
              <w:t xml:space="preserve">regulation 1.3(m). </w:t>
            </w:r>
            <w:r w:rsidRPr="00A41A74">
              <w:rPr>
                <w:rFonts w:asciiTheme="minorHAnsi" w:hAnsiTheme="minorHAnsi" w:cstheme="minorHAnsi"/>
              </w:rPr>
              <w:t>RTO Order</w:t>
            </w:r>
            <w:r>
              <w:rPr>
                <w:rFonts w:asciiTheme="minorHAnsi" w:hAnsiTheme="minorHAnsi" w:cstheme="minorHAnsi"/>
              </w:rPr>
              <w:t xml:space="preserve"> at 52318. </w:t>
            </w:r>
          </w:p>
          <w:p w:rsidR="00292A68" w:rsidRPr="005E667F" w:rsidRDefault="00292A68" w:rsidP="00292A68">
            <w:pPr>
              <w:autoSpaceDE w:val="0"/>
              <w:autoSpaceDN w:val="0"/>
              <w:adjustRightInd w:val="0"/>
              <w:rPr>
                <w:rFonts w:asciiTheme="minorHAnsi" w:hAnsiTheme="minorHAnsi" w:cstheme="minorHAnsi"/>
              </w:rPr>
            </w:pPr>
          </w:p>
        </w:tc>
      </w:tr>
      <w:tr w:rsidR="00292A68" w:rsidRPr="005E667F" w:rsidTr="00292A68">
        <w:tc>
          <w:tcPr>
            <w:tcW w:w="1728" w:type="dxa"/>
            <w:shd w:val="pct12" w:color="auto" w:fill="auto"/>
          </w:tcPr>
          <w:p w:rsidR="00292A68" w:rsidRPr="005E667F" w:rsidRDefault="00292A68" w:rsidP="00292A68">
            <w:pPr>
              <w:pStyle w:val="RSBodyText"/>
              <w:rPr>
                <w:rFonts w:asciiTheme="minorHAnsi" w:hAnsiTheme="minorHAnsi" w:cstheme="minorHAnsi"/>
                <w:b/>
              </w:rPr>
            </w:pPr>
            <w:r>
              <w:rPr>
                <w:rFonts w:asciiTheme="minorHAnsi" w:hAnsiTheme="minorHAnsi" w:cstheme="minorHAnsi"/>
                <w:b/>
              </w:rPr>
              <w:t xml:space="preserve">Exempted Transactions </w:t>
            </w:r>
          </w:p>
        </w:tc>
        <w:tc>
          <w:tcPr>
            <w:tcW w:w="7848" w:type="dxa"/>
          </w:tcPr>
          <w:p w:rsidR="00292A68" w:rsidRPr="0067700F" w:rsidRDefault="00292A68" w:rsidP="00292A68">
            <w:pPr>
              <w:pStyle w:val="RSBodyText"/>
              <w:jc w:val="both"/>
              <w:rPr>
                <w:rFonts w:asciiTheme="minorHAnsi" w:hAnsiTheme="minorHAnsi" w:cstheme="minorHAnsi"/>
              </w:rPr>
            </w:pPr>
            <w:r w:rsidRPr="005E667F">
              <w:rPr>
                <w:rFonts w:asciiTheme="minorHAnsi" w:hAnsiTheme="minorHAnsi" w:cstheme="minorHAnsi"/>
              </w:rPr>
              <w:t xml:space="preserve"> </w:t>
            </w:r>
            <w:r w:rsidRPr="0067700F">
              <w:rPr>
                <w:rFonts w:asciiTheme="minorHAnsi" w:hAnsiTheme="minorHAnsi" w:cstheme="minorHAnsi"/>
              </w:rPr>
              <w:t xml:space="preserve">1. Financial Transmission Rights (“FTR”) provided that the following conditions are met: </w:t>
            </w:r>
            <w:r>
              <w:rPr>
                <w:rFonts w:asciiTheme="minorHAnsi" w:hAnsiTheme="minorHAnsi" w:cstheme="minorHAnsi"/>
              </w:rPr>
              <w:t>(a) e</w:t>
            </w:r>
            <w:r w:rsidRPr="0067700F">
              <w:rPr>
                <w:rFonts w:asciiTheme="minorHAnsi" w:hAnsiTheme="minorHAnsi" w:cstheme="minorHAnsi"/>
              </w:rPr>
              <w:t>ach FTR is linked to, and the aggregate volume of FTRs for any period of time is limited by, the physical capability of the electricity transmission system operated by the RTO offering the contract for such period</w:t>
            </w:r>
            <w:r>
              <w:rPr>
                <w:rFonts w:asciiTheme="minorHAnsi" w:hAnsiTheme="minorHAnsi" w:cstheme="minorHAnsi"/>
              </w:rPr>
              <w:t>, (b) a</w:t>
            </w:r>
            <w:r w:rsidRPr="0067700F">
              <w:rPr>
                <w:rFonts w:asciiTheme="minorHAnsi" w:hAnsiTheme="minorHAnsi" w:cstheme="minorHAnsi"/>
              </w:rPr>
              <w:t xml:space="preserve"> RTO serves as the market administrator for the market on which the FTR is transacted</w:t>
            </w:r>
            <w:r>
              <w:rPr>
                <w:rFonts w:asciiTheme="minorHAnsi" w:hAnsiTheme="minorHAnsi" w:cstheme="minorHAnsi"/>
              </w:rPr>
              <w:t>, (c) e</w:t>
            </w:r>
            <w:r w:rsidRPr="0067700F">
              <w:rPr>
                <w:rFonts w:asciiTheme="minorHAnsi" w:hAnsiTheme="minorHAnsi" w:cstheme="minorHAnsi"/>
              </w:rPr>
              <w:t>ach party to the transaction is a member of the RTO</w:t>
            </w:r>
            <w:r>
              <w:rPr>
                <w:rFonts w:asciiTheme="minorHAnsi" w:hAnsiTheme="minorHAnsi" w:cstheme="minorHAnsi"/>
              </w:rPr>
              <w:t xml:space="preserve">, </w:t>
            </w:r>
            <w:r w:rsidRPr="0067700F">
              <w:rPr>
                <w:rFonts w:asciiTheme="minorHAnsi" w:hAnsiTheme="minorHAnsi" w:cstheme="minorHAnsi"/>
              </w:rPr>
              <w:t>is the RTO itself, and the transaction is executed on a market administered by the RTO</w:t>
            </w:r>
            <w:r>
              <w:rPr>
                <w:rFonts w:asciiTheme="minorHAnsi" w:hAnsiTheme="minorHAnsi" w:cstheme="minorHAnsi"/>
              </w:rPr>
              <w:t xml:space="preserve"> and (d) </w:t>
            </w:r>
            <w:r w:rsidRPr="0067700F">
              <w:rPr>
                <w:rFonts w:asciiTheme="minorHAnsi" w:hAnsiTheme="minorHAnsi" w:cstheme="minorHAnsi"/>
              </w:rPr>
              <w:t>The transaction does not require any party to make or take physical delivery of electricity.</w:t>
            </w:r>
            <w:r>
              <w:rPr>
                <w:rFonts w:asciiTheme="minorHAnsi" w:hAnsiTheme="minorHAnsi" w:cstheme="minorHAnsi"/>
              </w:rPr>
              <w:t xml:space="preserve"> RTO Order at 52141. </w:t>
            </w:r>
          </w:p>
          <w:p w:rsidR="00292A68" w:rsidRPr="0067700F" w:rsidRDefault="00292A68" w:rsidP="00292A68">
            <w:pPr>
              <w:pStyle w:val="RSBodyText"/>
              <w:jc w:val="both"/>
              <w:rPr>
                <w:rFonts w:asciiTheme="minorHAnsi" w:hAnsiTheme="minorHAnsi" w:cstheme="minorHAnsi"/>
              </w:rPr>
            </w:pPr>
          </w:p>
          <w:p w:rsidR="00292A68" w:rsidRPr="0067700F" w:rsidRDefault="00292A68" w:rsidP="00292A68">
            <w:pPr>
              <w:pStyle w:val="RSBodyText"/>
              <w:jc w:val="both"/>
              <w:rPr>
                <w:rFonts w:asciiTheme="minorHAnsi" w:hAnsiTheme="minorHAnsi" w:cstheme="minorHAnsi"/>
              </w:rPr>
            </w:pPr>
            <w:r w:rsidRPr="0067700F">
              <w:rPr>
                <w:rFonts w:asciiTheme="minorHAnsi" w:hAnsiTheme="minorHAnsi" w:cstheme="minorHAnsi"/>
              </w:rPr>
              <w:t>2. Energy Transactions in the day-ahead market or real-time market for the purchase or sale of a specified quantity of electricity at a specified location where the price of electricity is established at the time it</w:t>
            </w:r>
            <w:r>
              <w:rPr>
                <w:rFonts w:asciiTheme="minorHAnsi" w:hAnsiTheme="minorHAnsi" w:cstheme="minorHAnsi"/>
              </w:rPr>
              <w:t xml:space="preserve"> </w:t>
            </w:r>
            <w:r w:rsidRPr="0067700F">
              <w:rPr>
                <w:rFonts w:asciiTheme="minorHAnsi" w:hAnsiTheme="minorHAnsi" w:cstheme="minorHAnsi"/>
              </w:rPr>
              <w:t xml:space="preserve">he transaction is executed. </w:t>
            </w:r>
            <w:r>
              <w:rPr>
                <w:rFonts w:asciiTheme="minorHAnsi" w:hAnsiTheme="minorHAnsi" w:cstheme="minorHAnsi"/>
              </w:rPr>
              <w:t xml:space="preserve">RTO Order at 52142. </w:t>
            </w:r>
          </w:p>
          <w:p w:rsidR="00292A68" w:rsidRPr="0067700F" w:rsidRDefault="00292A68" w:rsidP="00292A68">
            <w:pPr>
              <w:autoSpaceDE w:val="0"/>
              <w:autoSpaceDN w:val="0"/>
              <w:adjustRightInd w:val="0"/>
              <w:jc w:val="both"/>
              <w:rPr>
                <w:rFonts w:asciiTheme="minorHAnsi" w:hAnsiTheme="minorHAnsi" w:cstheme="minorHAnsi"/>
              </w:rPr>
            </w:pPr>
            <w:r w:rsidRPr="0067700F">
              <w:rPr>
                <w:rFonts w:asciiTheme="minorHAnsi" w:hAnsiTheme="minorHAnsi" w:cstheme="minorHAnsi"/>
              </w:rPr>
              <w:t xml:space="preserve">3.  </w:t>
            </w:r>
            <w:r w:rsidRPr="00F765E3">
              <w:rPr>
                <w:rFonts w:asciiTheme="minorHAnsi" w:hAnsiTheme="minorHAnsi" w:cstheme="minorHAnsi"/>
                <w:bCs/>
              </w:rPr>
              <w:t xml:space="preserve">Forward Capacity Transactions that </w:t>
            </w:r>
            <w:r>
              <w:rPr>
                <w:rFonts w:asciiTheme="minorHAnsi" w:hAnsiTheme="minorHAnsi" w:cstheme="minorHAnsi"/>
              </w:rPr>
              <w:t xml:space="preserve">fall in to </w:t>
            </w:r>
            <w:r w:rsidRPr="00F765E3">
              <w:rPr>
                <w:rFonts w:asciiTheme="minorHAnsi" w:hAnsiTheme="minorHAnsi" w:cstheme="minorHAnsi"/>
              </w:rPr>
              <w:t>one of the following categories:</w:t>
            </w:r>
            <w:r w:rsidRPr="0067700F">
              <w:rPr>
                <w:rFonts w:asciiTheme="minorHAnsi" w:hAnsiTheme="minorHAnsi" w:cstheme="minorHAnsi"/>
              </w:rPr>
              <w:t xml:space="preserve"> </w:t>
            </w:r>
            <w:r>
              <w:rPr>
                <w:rFonts w:asciiTheme="minorHAnsi" w:hAnsiTheme="minorHAnsi" w:cstheme="minorHAnsi"/>
              </w:rPr>
              <w:t xml:space="preserve">(a) </w:t>
            </w:r>
            <w:r>
              <w:rPr>
                <w:rFonts w:asciiTheme="minorHAnsi" w:hAnsiTheme="minorHAnsi" w:cstheme="minorHAnsi"/>
                <w:iCs/>
              </w:rPr>
              <w:t>generation capacity c</w:t>
            </w:r>
            <w:r w:rsidRPr="0067700F">
              <w:rPr>
                <w:rFonts w:asciiTheme="minorHAnsi" w:hAnsiTheme="minorHAnsi" w:cstheme="minorHAnsi"/>
                <w:iCs/>
              </w:rPr>
              <w:t>ontract</w:t>
            </w:r>
            <w:r>
              <w:rPr>
                <w:rFonts w:asciiTheme="minorHAnsi" w:hAnsiTheme="minorHAnsi" w:cstheme="minorHAnsi"/>
                <w:i/>
                <w:iCs/>
              </w:rPr>
              <w:t xml:space="preserve"> </w:t>
            </w:r>
            <w:r>
              <w:rPr>
                <w:rFonts w:asciiTheme="minorHAnsi" w:hAnsiTheme="minorHAnsi" w:cstheme="minorHAnsi"/>
                <w:iCs/>
              </w:rPr>
              <w:t>whereby</w:t>
            </w:r>
            <w:r w:rsidRPr="0067700F">
              <w:rPr>
                <w:rFonts w:asciiTheme="minorHAnsi" w:hAnsiTheme="minorHAnsi" w:cstheme="minorHAnsi"/>
              </w:rPr>
              <w:t xml:space="preserve"> a RTO</w:t>
            </w:r>
            <w:r>
              <w:rPr>
                <w:rFonts w:asciiTheme="minorHAnsi" w:hAnsiTheme="minorHAnsi" w:cstheme="minorHAnsi"/>
              </w:rPr>
              <w:t xml:space="preserve"> has the right </w:t>
            </w:r>
            <w:r w:rsidRPr="0067700F">
              <w:rPr>
                <w:rFonts w:asciiTheme="minorHAnsi" w:hAnsiTheme="minorHAnsi" w:cstheme="minorHAnsi"/>
              </w:rPr>
              <w:t>to require certain sellers to maintain the interconnection of electric generation facilities to physical locations in the electric power transmission syst</w:t>
            </w:r>
            <w:r>
              <w:rPr>
                <w:rFonts w:asciiTheme="minorHAnsi" w:hAnsiTheme="minorHAnsi" w:cstheme="minorHAnsi"/>
              </w:rPr>
              <w:t xml:space="preserve">em during a future time period (Such general capacity </w:t>
            </w:r>
            <w:r w:rsidRPr="0067700F">
              <w:rPr>
                <w:rFonts w:asciiTheme="minorHAnsi" w:hAnsiTheme="minorHAnsi" w:cstheme="minorHAnsi"/>
              </w:rPr>
              <w:t>contracts also requires a seller, subject to applicable tariff provisions, to interject electric energy into the electric power transmission system operated by the RTO</w:t>
            </w:r>
            <w:r>
              <w:rPr>
                <w:rFonts w:asciiTheme="minorHAnsi" w:hAnsiTheme="minorHAnsi" w:cstheme="minorHAnsi"/>
              </w:rPr>
              <w:t xml:space="preserve">), (b) </w:t>
            </w:r>
            <w:r w:rsidRPr="0067700F">
              <w:rPr>
                <w:rFonts w:asciiTheme="minorHAnsi" w:hAnsiTheme="minorHAnsi" w:cstheme="minorHAnsi"/>
              </w:rPr>
              <w:t xml:space="preserve">Demand Response Right </w:t>
            </w:r>
            <w:r>
              <w:rPr>
                <w:rFonts w:asciiTheme="minorHAnsi" w:hAnsiTheme="minorHAnsi" w:cstheme="minorHAnsi"/>
              </w:rPr>
              <w:t>that provides</w:t>
            </w:r>
            <w:r w:rsidRPr="0067700F">
              <w:rPr>
                <w:rFonts w:asciiTheme="minorHAnsi" w:hAnsiTheme="minorHAnsi" w:cstheme="minorHAnsi"/>
              </w:rPr>
              <w:t xml:space="preserve"> a RTO the right to require that certain sellers of such rights curtail their consumption of electricity from the RTO electricity transmission system during a future period of time</w:t>
            </w:r>
            <w:r>
              <w:rPr>
                <w:rFonts w:asciiTheme="minorHAnsi" w:hAnsiTheme="minorHAnsi" w:cstheme="minorHAnsi"/>
              </w:rPr>
              <w:t xml:space="preserve"> and (c) Energy Efficiency Rights providing</w:t>
            </w:r>
            <w:r w:rsidRPr="0067700F">
              <w:rPr>
                <w:rFonts w:asciiTheme="minorHAnsi" w:hAnsiTheme="minorHAnsi" w:cstheme="minorHAnsi"/>
              </w:rPr>
              <w:t xml:space="preserve"> the RTO with the right to require specific performance of an action on the part of the other party that will reduce the need for General Capacity or Demand Response Rights over the duration of a future period of time.</w:t>
            </w:r>
            <w:r>
              <w:rPr>
                <w:rFonts w:asciiTheme="minorHAnsi" w:hAnsiTheme="minorHAnsi" w:cstheme="minorHAnsi"/>
              </w:rPr>
              <w:t xml:space="preserve">  RTO Order at 52142.</w:t>
            </w:r>
          </w:p>
          <w:p w:rsidR="00292A68" w:rsidRPr="0067700F" w:rsidRDefault="00292A68" w:rsidP="00292A68">
            <w:pPr>
              <w:pStyle w:val="RSBulletedList"/>
              <w:numPr>
                <w:ilvl w:val="0"/>
                <w:numId w:val="0"/>
              </w:numPr>
              <w:ind w:left="1440"/>
              <w:jc w:val="both"/>
              <w:rPr>
                <w:rFonts w:asciiTheme="minorHAnsi" w:hAnsiTheme="minorHAnsi" w:cstheme="minorHAnsi"/>
              </w:rPr>
            </w:pPr>
          </w:p>
          <w:p w:rsidR="00292A68" w:rsidRPr="0067700F" w:rsidRDefault="00292A68" w:rsidP="00292A68">
            <w:pPr>
              <w:autoSpaceDE w:val="0"/>
              <w:autoSpaceDN w:val="0"/>
              <w:adjustRightInd w:val="0"/>
              <w:jc w:val="both"/>
              <w:rPr>
                <w:rFonts w:asciiTheme="minorHAnsi" w:hAnsiTheme="minorHAnsi" w:cstheme="minorHAnsi"/>
              </w:rPr>
            </w:pPr>
            <w:r w:rsidRPr="0067700F">
              <w:rPr>
                <w:rFonts w:asciiTheme="minorHAnsi" w:hAnsiTheme="minorHAnsi" w:cstheme="minorHAnsi"/>
              </w:rPr>
              <w:t xml:space="preserve">4. </w:t>
            </w:r>
            <w:r w:rsidRPr="00F765E3">
              <w:rPr>
                <w:rFonts w:asciiTheme="minorHAnsi" w:hAnsiTheme="minorHAnsi" w:cstheme="minorHAnsi"/>
                <w:bCs/>
              </w:rPr>
              <w:t>Reserve Regulation Transactions</w:t>
            </w:r>
            <w:r>
              <w:rPr>
                <w:rFonts w:asciiTheme="minorHAnsi" w:hAnsiTheme="minorHAnsi" w:cstheme="minorHAnsi"/>
                <w:b/>
                <w:bCs/>
              </w:rPr>
              <w:t xml:space="preserve"> </w:t>
            </w:r>
            <w:r w:rsidRPr="00F765E3">
              <w:rPr>
                <w:rFonts w:asciiTheme="minorHAnsi" w:hAnsiTheme="minorHAnsi" w:cstheme="minorHAnsi"/>
                <w:bCs/>
              </w:rPr>
              <w:t>that allow a RTO</w:t>
            </w:r>
            <w:r>
              <w:rPr>
                <w:rFonts w:asciiTheme="minorHAnsi" w:hAnsiTheme="minorHAnsi" w:cstheme="minorHAnsi"/>
                <w:b/>
                <w:bCs/>
              </w:rPr>
              <w:t xml:space="preserve"> </w:t>
            </w:r>
            <w:r w:rsidRPr="0067700F">
              <w:rPr>
                <w:rFonts w:asciiTheme="minorHAnsi" w:hAnsiTheme="minorHAnsi" w:cstheme="minorHAnsi"/>
              </w:rPr>
              <w:t>to purchase through auction the right to require the seller</w:t>
            </w:r>
            <w:r>
              <w:rPr>
                <w:rFonts w:asciiTheme="minorHAnsi" w:hAnsiTheme="minorHAnsi" w:cstheme="minorHAnsi"/>
              </w:rPr>
              <w:t xml:space="preserve"> </w:t>
            </w:r>
            <w:r w:rsidRPr="0067700F">
              <w:rPr>
                <w:rFonts w:asciiTheme="minorHAnsi" w:hAnsiTheme="minorHAnsi" w:cstheme="minorHAnsi"/>
              </w:rPr>
              <w:t>to operate electric facilities in a physical state such that the facilities can increase</w:t>
            </w:r>
            <w:r>
              <w:rPr>
                <w:rFonts w:asciiTheme="minorHAnsi" w:hAnsiTheme="minorHAnsi" w:cstheme="minorHAnsi"/>
              </w:rPr>
              <w:t xml:space="preserve"> </w:t>
            </w:r>
            <w:r w:rsidRPr="0067700F">
              <w:rPr>
                <w:rFonts w:asciiTheme="minorHAnsi" w:hAnsiTheme="minorHAnsi" w:cstheme="minorHAnsi"/>
              </w:rPr>
              <w:t>or decrease the rate of injection or withdrawal of electricity to the electric power</w:t>
            </w:r>
            <w:r>
              <w:rPr>
                <w:rFonts w:asciiTheme="minorHAnsi" w:hAnsiTheme="minorHAnsi" w:cstheme="minorHAnsi"/>
              </w:rPr>
              <w:t xml:space="preserve"> </w:t>
            </w:r>
            <w:r w:rsidRPr="0067700F">
              <w:rPr>
                <w:rFonts w:asciiTheme="minorHAnsi" w:hAnsiTheme="minorHAnsi" w:cstheme="minorHAnsi"/>
              </w:rPr>
              <w:t>transmission system operated by the RTO with physical</w:t>
            </w:r>
            <w:r>
              <w:rPr>
                <w:rFonts w:asciiTheme="minorHAnsi" w:hAnsiTheme="minorHAnsi" w:cstheme="minorHAnsi"/>
              </w:rPr>
              <w:t xml:space="preserve"> </w:t>
            </w:r>
            <w:r w:rsidRPr="0067700F">
              <w:rPr>
                <w:rFonts w:asciiTheme="minorHAnsi" w:hAnsiTheme="minorHAnsi" w:cstheme="minorHAnsi"/>
              </w:rPr>
              <w:t>performance by the seller’s facilities within a response interval specified in the</w:t>
            </w:r>
            <w:r>
              <w:rPr>
                <w:rFonts w:asciiTheme="minorHAnsi" w:hAnsiTheme="minorHAnsi" w:cstheme="minorHAnsi"/>
              </w:rPr>
              <w:t xml:space="preserve"> RTO’s </w:t>
            </w:r>
            <w:r w:rsidRPr="0067700F">
              <w:rPr>
                <w:rFonts w:asciiTheme="minorHAnsi" w:hAnsiTheme="minorHAnsi" w:cstheme="minorHAnsi"/>
              </w:rPr>
              <w:t>tariff, or prompt physical performance by the seller’s</w:t>
            </w:r>
            <w:r>
              <w:rPr>
                <w:rFonts w:asciiTheme="minorHAnsi" w:hAnsiTheme="minorHAnsi" w:cstheme="minorHAnsi"/>
              </w:rPr>
              <w:t xml:space="preserve"> </w:t>
            </w:r>
            <w:r w:rsidRPr="0067700F">
              <w:rPr>
                <w:rFonts w:asciiTheme="minorHAnsi" w:hAnsiTheme="minorHAnsi" w:cstheme="minorHAnsi"/>
              </w:rPr>
              <w:t>facilities.</w:t>
            </w:r>
            <w:r>
              <w:rPr>
                <w:rFonts w:asciiTheme="minorHAnsi" w:hAnsiTheme="minorHAnsi" w:cstheme="minorHAnsi"/>
              </w:rPr>
              <w:t xml:space="preserve"> RTO Order at 52142.</w:t>
            </w:r>
          </w:p>
          <w:p w:rsidR="00292A68" w:rsidRPr="005E667F" w:rsidRDefault="00292A68" w:rsidP="00292A68">
            <w:pPr>
              <w:pStyle w:val="RSBodyText"/>
              <w:rPr>
                <w:rFonts w:asciiTheme="minorHAnsi" w:hAnsiTheme="minorHAnsi" w:cstheme="minorHAnsi"/>
              </w:rPr>
            </w:pPr>
          </w:p>
        </w:tc>
      </w:tr>
      <w:tr w:rsidR="00292A68" w:rsidRPr="005E667F" w:rsidTr="00292A68">
        <w:tc>
          <w:tcPr>
            <w:tcW w:w="1728" w:type="dxa"/>
            <w:shd w:val="pct12" w:color="auto" w:fill="auto"/>
          </w:tcPr>
          <w:p w:rsidR="00292A68" w:rsidRPr="005E667F" w:rsidRDefault="00292A68" w:rsidP="00292A68">
            <w:pPr>
              <w:pStyle w:val="RSBodyText"/>
              <w:rPr>
                <w:rFonts w:asciiTheme="minorHAnsi" w:hAnsiTheme="minorHAnsi" w:cstheme="minorHAnsi"/>
                <w:b/>
              </w:rPr>
            </w:pPr>
            <w:r>
              <w:rPr>
                <w:rFonts w:asciiTheme="minorHAnsi" w:hAnsiTheme="minorHAnsi" w:cstheme="minorHAnsi"/>
                <w:b/>
              </w:rPr>
              <w:lastRenderedPageBreak/>
              <w:t>Non-exempt transactions</w:t>
            </w:r>
          </w:p>
        </w:tc>
        <w:tc>
          <w:tcPr>
            <w:tcW w:w="7848" w:type="dxa"/>
          </w:tcPr>
          <w:p w:rsidR="00292A68" w:rsidRPr="00F765E3" w:rsidRDefault="00292A68" w:rsidP="00292A68">
            <w:pPr>
              <w:autoSpaceDE w:val="0"/>
              <w:autoSpaceDN w:val="0"/>
              <w:adjustRightInd w:val="0"/>
              <w:jc w:val="both"/>
              <w:rPr>
                <w:rFonts w:asciiTheme="minorHAnsi" w:hAnsiTheme="minorHAnsi" w:cstheme="minorHAnsi"/>
              </w:rPr>
            </w:pPr>
            <w:r w:rsidRPr="00F765E3">
              <w:rPr>
                <w:rFonts w:asciiTheme="minorHAnsi" w:hAnsiTheme="minorHAnsi" w:cstheme="minorHAnsi"/>
              </w:rPr>
              <w:t xml:space="preserve">Only the transactions described above </w:t>
            </w:r>
            <w:r>
              <w:rPr>
                <w:rFonts w:asciiTheme="minorHAnsi" w:hAnsiTheme="minorHAnsi" w:cstheme="minorHAnsi"/>
              </w:rPr>
              <w:t xml:space="preserve">are </w:t>
            </w:r>
            <w:r w:rsidRPr="00F765E3">
              <w:rPr>
                <w:rFonts w:asciiTheme="minorHAnsi" w:hAnsiTheme="minorHAnsi" w:cstheme="minorHAnsi"/>
              </w:rPr>
              <w:t>exempt under the RTO</w:t>
            </w:r>
            <w:r>
              <w:rPr>
                <w:rFonts w:asciiTheme="minorHAnsi" w:hAnsiTheme="minorHAnsi" w:cstheme="minorHAnsi"/>
              </w:rPr>
              <w:t xml:space="preserve"> Order. It should be noted that</w:t>
            </w:r>
            <w:r w:rsidRPr="00F765E3">
              <w:rPr>
                <w:rFonts w:asciiTheme="minorHAnsi" w:hAnsiTheme="minorHAnsi" w:cstheme="minorHAnsi"/>
              </w:rPr>
              <w:t xml:space="preserve"> the CFTC expressly declined to exempt “the purchase and sale of a product or service that is directly related to, a</w:t>
            </w:r>
            <w:r>
              <w:rPr>
                <w:rFonts w:asciiTheme="minorHAnsi" w:hAnsiTheme="minorHAnsi" w:cstheme="minorHAnsi"/>
              </w:rPr>
              <w:t>nd a logical outgrowth of, any of an applicable RTO’s core functions</w:t>
            </w:r>
            <w:r w:rsidRPr="00F765E3">
              <w:rPr>
                <w:rFonts w:asciiTheme="minorHAnsi" w:hAnsiTheme="minorHAnsi" w:cstheme="minorHAnsi"/>
              </w:rPr>
              <w:t>. Additionally, convergence and virtual bids and transactions would not be exempt unless such transactions fall within the scope of one of the transactions described above.</w:t>
            </w:r>
            <w:r>
              <w:rPr>
                <w:rFonts w:asciiTheme="minorHAnsi" w:hAnsiTheme="minorHAnsi" w:cstheme="minorHAnsi"/>
              </w:rPr>
              <w:t xml:space="preserve"> RTO Order at 52163.</w:t>
            </w:r>
          </w:p>
        </w:tc>
      </w:tr>
      <w:tr w:rsidR="00292A68" w:rsidRPr="005E667F" w:rsidTr="00292A68">
        <w:tc>
          <w:tcPr>
            <w:tcW w:w="1728" w:type="dxa"/>
            <w:shd w:val="pct12" w:color="auto" w:fill="auto"/>
          </w:tcPr>
          <w:p w:rsidR="00292A68" w:rsidRPr="005E667F" w:rsidRDefault="00292A68" w:rsidP="00292A68">
            <w:pPr>
              <w:pStyle w:val="RSBodyText"/>
              <w:rPr>
                <w:rFonts w:asciiTheme="minorHAnsi" w:hAnsiTheme="minorHAnsi" w:cstheme="minorHAnsi"/>
                <w:b/>
              </w:rPr>
            </w:pPr>
            <w:r>
              <w:rPr>
                <w:rFonts w:asciiTheme="minorHAnsi" w:hAnsiTheme="minorHAnsi" w:cstheme="minorHAnsi"/>
                <w:b/>
              </w:rPr>
              <w:t>Conditions Precedent to Exemption</w:t>
            </w:r>
          </w:p>
        </w:tc>
        <w:tc>
          <w:tcPr>
            <w:tcW w:w="7848" w:type="dxa"/>
          </w:tcPr>
          <w:p w:rsidR="00292A68" w:rsidRPr="00F0197C" w:rsidRDefault="00292A68" w:rsidP="00292A68">
            <w:pPr>
              <w:autoSpaceDE w:val="0"/>
              <w:autoSpaceDN w:val="0"/>
              <w:adjustRightInd w:val="0"/>
              <w:jc w:val="both"/>
              <w:rPr>
                <w:rFonts w:cs="Times New Roman"/>
              </w:rPr>
            </w:pPr>
            <w:r>
              <w:rPr>
                <w:rFonts w:cs="Times New Roman"/>
              </w:rPr>
              <w:t xml:space="preserve">The CFTC </w:t>
            </w:r>
            <w:r w:rsidRPr="00F0197C">
              <w:rPr>
                <w:rFonts w:cs="Times New Roman"/>
              </w:rPr>
              <w:t xml:space="preserve">retains general antifraud, anti-manipulation and enforcement authority over contracts subject to the RTO Order. </w:t>
            </w:r>
            <w:r>
              <w:rPr>
                <w:rFonts w:asciiTheme="minorHAnsi" w:hAnsiTheme="minorHAnsi" w:cstheme="minorHAnsi"/>
              </w:rPr>
              <w:t>RTO Order at 52166.</w:t>
            </w:r>
          </w:p>
          <w:p w:rsidR="00292A68" w:rsidRPr="00F0197C" w:rsidRDefault="00292A68" w:rsidP="00292A68">
            <w:pPr>
              <w:autoSpaceDE w:val="0"/>
              <w:autoSpaceDN w:val="0"/>
              <w:adjustRightInd w:val="0"/>
              <w:jc w:val="both"/>
              <w:rPr>
                <w:rFonts w:cs="Times New Roman"/>
              </w:rPr>
            </w:pPr>
          </w:p>
          <w:p w:rsidR="00292A68" w:rsidRPr="00F0197C" w:rsidRDefault="00292A68" w:rsidP="00292A68">
            <w:pPr>
              <w:autoSpaceDE w:val="0"/>
              <w:autoSpaceDN w:val="0"/>
              <w:adjustRightInd w:val="0"/>
              <w:jc w:val="both"/>
              <w:rPr>
                <w:rFonts w:cs="Times New Roman"/>
              </w:rPr>
            </w:pPr>
            <w:r w:rsidRPr="00F0197C">
              <w:rPr>
                <w:rFonts w:cs="Times New Roman"/>
              </w:rPr>
              <w:t>The Exemptions in the RTO Order are contingent upon the existence of information sharing arrangements between the CFTC and FERC.</w:t>
            </w:r>
            <w:r>
              <w:rPr>
                <w:rFonts w:cs="Times New Roman"/>
              </w:rPr>
              <w:t xml:space="preserve"> </w:t>
            </w:r>
            <w:r>
              <w:rPr>
                <w:rFonts w:asciiTheme="minorHAnsi" w:hAnsiTheme="minorHAnsi" w:cstheme="minorHAnsi"/>
              </w:rPr>
              <w:t>RTO Order at 52166.</w:t>
            </w:r>
          </w:p>
          <w:p w:rsidR="00292A68" w:rsidRPr="00F0197C" w:rsidRDefault="00292A68" w:rsidP="00292A68">
            <w:pPr>
              <w:autoSpaceDE w:val="0"/>
              <w:autoSpaceDN w:val="0"/>
              <w:adjustRightInd w:val="0"/>
              <w:jc w:val="both"/>
              <w:rPr>
                <w:rFonts w:cs="Times New Roman"/>
              </w:rPr>
            </w:pPr>
          </w:p>
          <w:p w:rsidR="00292A68" w:rsidRPr="00F0197C" w:rsidRDefault="00292A68" w:rsidP="00292A68">
            <w:pPr>
              <w:autoSpaceDE w:val="0"/>
              <w:autoSpaceDN w:val="0"/>
              <w:adjustRightInd w:val="0"/>
              <w:jc w:val="both"/>
              <w:rPr>
                <w:rFonts w:ascii="CandidaStd-Roman" w:hAnsi="CandidaStd-Roman" w:cs="CandidaStd-Roman"/>
                <w:sz w:val="19"/>
                <w:szCs w:val="19"/>
              </w:rPr>
            </w:pPr>
            <w:r>
              <w:rPr>
                <w:rFonts w:cs="Times New Roman"/>
              </w:rPr>
              <w:t xml:space="preserve"> Finally, the RTO</w:t>
            </w:r>
            <w:r w:rsidRPr="00F0197C">
              <w:rPr>
                <w:rFonts w:cs="Times New Roman"/>
              </w:rPr>
              <w:t xml:space="preserve"> Order would require that neither the tariffs nor any other governing documents of a particular RTO include any requirement that the </w:t>
            </w:r>
            <w:r w:rsidRPr="00F0197C">
              <w:rPr>
                <w:rFonts w:cs="Times New Roman"/>
              </w:rPr>
              <w:lastRenderedPageBreak/>
              <w:t>RTO notify its members prior to providing information to the CFTC in response to a subpoena or other requests for information or documentation.</w:t>
            </w:r>
            <w:r>
              <w:rPr>
                <w:rFonts w:cs="Times New Roman"/>
              </w:rPr>
              <w:t xml:space="preserve"> </w:t>
            </w:r>
            <w:r>
              <w:rPr>
                <w:rFonts w:asciiTheme="minorHAnsi" w:hAnsiTheme="minorHAnsi" w:cstheme="minorHAnsi"/>
              </w:rPr>
              <w:t>RTO Order at 52166.</w:t>
            </w:r>
          </w:p>
        </w:tc>
      </w:tr>
    </w:tbl>
    <w:p w:rsidR="00292A68" w:rsidRDefault="00292A68" w:rsidP="00292A68">
      <w:pPr>
        <w:pStyle w:val="RSBodyText"/>
      </w:pPr>
    </w:p>
    <w:p w:rsidR="00292A68" w:rsidRDefault="00292A68" w:rsidP="00292A68">
      <w:pPr>
        <w:pStyle w:val="RSBodyText"/>
      </w:pPr>
    </w:p>
    <w:p w:rsidR="00292A68" w:rsidRPr="00292A68" w:rsidRDefault="00292A68" w:rsidP="00292A68">
      <w:pPr>
        <w:pStyle w:val="RSBodyText"/>
      </w:pPr>
    </w:p>
    <w:p w:rsidR="00DD394B" w:rsidRPr="005E667F" w:rsidRDefault="00DD394B" w:rsidP="008D3C55">
      <w:pPr>
        <w:pStyle w:val="Heading1"/>
        <w:rPr>
          <w:rFonts w:asciiTheme="minorHAnsi" w:hAnsiTheme="minorHAnsi" w:cstheme="minorHAnsi"/>
          <w:szCs w:val="24"/>
        </w:rPr>
      </w:pPr>
      <w:r w:rsidRPr="005E667F">
        <w:rPr>
          <w:rFonts w:asciiTheme="minorHAnsi" w:hAnsiTheme="minorHAnsi" w:cstheme="minorHAnsi"/>
          <w:b/>
          <w:szCs w:val="24"/>
        </w:rPr>
        <w:t>Nonfinancial Commodity Forward Contract</w:t>
      </w:r>
      <w:r w:rsidRPr="005E667F">
        <w:rPr>
          <w:rStyle w:val="FootnoteReference"/>
          <w:rFonts w:asciiTheme="minorHAnsi" w:hAnsiTheme="minorHAnsi" w:cstheme="minorHAnsi"/>
          <w:szCs w:val="24"/>
        </w:rPr>
        <w:footnoteReference w:id="4"/>
      </w:r>
    </w:p>
    <w:tbl>
      <w:tblPr>
        <w:tblStyle w:val="TableGrid"/>
        <w:tblW w:w="0" w:type="auto"/>
        <w:tblLook w:val="04A0" w:firstRow="1" w:lastRow="0" w:firstColumn="1" w:lastColumn="0" w:noHBand="0" w:noVBand="1"/>
      </w:tblPr>
      <w:tblGrid>
        <w:gridCol w:w="1728"/>
        <w:gridCol w:w="7848"/>
      </w:tblGrid>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Key Definition</w:t>
            </w:r>
          </w:p>
        </w:tc>
        <w:tc>
          <w:tcPr>
            <w:tcW w:w="7848" w:type="dxa"/>
          </w:tcPr>
          <w:p w:rsidR="00B96CC5" w:rsidRPr="005E667F" w:rsidRDefault="002B4DB3" w:rsidP="00B96CC5">
            <w:pPr>
              <w:pStyle w:val="RSBodyText"/>
              <w:rPr>
                <w:rFonts w:asciiTheme="minorHAnsi" w:hAnsiTheme="minorHAnsi" w:cstheme="minorHAnsi"/>
              </w:rPr>
            </w:pPr>
            <w:r w:rsidRPr="005E667F">
              <w:rPr>
                <w:rFonts w:asciiTheme="minorHAnsi" w:hAnsiTheme="minorHAnsi" w:cstheme="minorHAnsi"/>
              </w:rPr>
              <w:t>The CFTC interprets the term “</w:t>
            </w:r>
            <w:r w:rsidR="00DD394B" w:rsidRPr="005E667F">
              <w:rPr>
                <w:rFonts w:asciiTheme="minorHAnsi" w:hAnsiTheme="minorHAnsi" w:cstheme="minorHAnsi"/>
              </w:rPr>
              <w:t>nonfinancial commodity</w:t>
            </w:r>
            <w:r w:rsidRPr="005E667F">
              <w:rPr>
                <w:rFonts w:asciiTheme="minorHAnsi" w:hAnsiTheme="minorHAnsi" w:cstheme="minorHAnsi"/>
              </w:rPr>
              <w:t>” to mean a</w:t>
            </w:r>
            <w:r w:rsidR="00DD394B" w:rsidRPr="005E667F">
              <w:rPr>
                <w:rFonts w:asciiTheme="minorHAnsi" w:hAnsiTheme="minorHAnsi" w:cstheme="minorHAnsi"/>
              </w:rPr>
              <w:t xml:space="preserve"> commodity that can be physically delivered and that is either (a) an “exempt commodity” (which is a commodity that is not an “excluded commodity”</w:t>
            </w:r>
            <w:r w:rsidRPr="005E667F">
              <w:rPr>
                <w:rFonts w:asciiTheme="minorHAnsi" w:hAnsiTheme="minorHAnsi" w:cstheme="minorHAnsi"/>
              </w:rPr>
              <w:t xml:space="preserve"> under pre-DFA CEA</w:t>
            </w:r>
            <w:r w:rsidR="00DD394B" w:rsidRPr="005E667F">
              <w:rPr>
                <w:rFonts w:asciiTheme="minorHAnsi" w:hAnsiTheme="minorHAnsi" w:cstheme="minorHAnsi"/>
              </w:rPr>
              <w:t xml:space="preserve">) or </w:t>
            </w:r>
            <w:r w:rsidR="002F1652" w:rsidRPr="005E667F">
              <w:rPr>
                <w:rFonts w:asciiTheme="minorHAnsi" w:hAnsiTheme="minorHAnsi" w:cstheme="minorHAnsi"/>
              </w:rPr>
              <w:t xml:space="preserve">(b) </w:t>
            </w:r>
            <w:r w:rsidR="00DD394B" w:rsidRPr="005E667F">
              <w:rPr>
                <w:rFonts w:asciiTheme="minorHAnsi" w:hAnsiTheme="minorHAnsi" w:cstheme="minorHAnsi"/>
              </w:rPr>
              <w:t>an “agricultural commodity</w:t>
            </w:r>
            <w:r w:rsidRPr="005E667F">
              <w:rPr>
                <w:rFonts w:asciiTheme="minorHAnsi" w:hAnsiTheme="minorHAnsi" w:cstheme="minorHAnsi"/>
              </w:rPr>
              <w:t>.</w:t>
            </w:r>
            <w:r w:rsidR="00DD394B" w:rsidRPr="005E667F">
              <w:rPr>
                <w:rFonts w:asciiTheme="minorHAnsi" w:hAnsiTheme="minorHAnsi" w:cstheme="minorHAnsi"/>
              </w:rPr>
              <w:t xml:space="preserve">” </w:t>
            </w:r>
            <w:r w:rsidR="005A5ADA" w:rsidRPr="005E667F">
              <w:rPr>
                <w:rFonts w:asciiTheme="minorHAnsi" w:hAnsiTheme="minorHAnsi" w:cstheme="minorHAnsi"/>
              </w:rPr>
              <w:t xml:space="preserve">PDR at </w:t>
            </w:r>
            <w:r w:rsidR="001B243B" w:rsidRPr="005E667F">
              <w:rPr>
                <w:rFonts w:asciiTheme="minorHAnsi" w:hAnsiTheme="minorHAnsi" w:cstheme="minorHAnsi"/>
              </w:rPr>
              <w:t>48232</w:t>
            </w:r>
            <w:r w:rsidR="005A5ADA" w:rsidRPr="005E667F">
              <w:rPr>
                <w:rFonts w:asciiTheme="minorHAnsi" w:hAnsiTheme="minorHAnsi" w:cstheme="minorHAnsi"/>
              </w:rPr>
              <w:t xml:space="preserve">. </w:t>
            </w:r>
          </w:p>
          <w:p w:rsidR="00B96CC5" w:rsidRPr="005E667F" w:rsidRDefault="002B4DB3" w:rsidP="00B96CC5">
            <w:pPr>
              <w:pStyle w:val="RSBodyText"/>
              <w:rPr>
                <w:rFonts w:asciiTheme="minorHAnsi" w:hAnsiTheme="minorHAnsi" w:cstheme="minorHAnsi"/>
              </w:rPr>
            </w:pPr>
            <w:r w:rsidRPr="005E667F">
              <w:rPr>
                <w:rFonts w:asciiTheme="minorHAnsi" w:hAnsiTheme="minorHAnsi" w:cstheme="minorHAnsi"/>
              </w:rPr>
              <w:t xml:space="preserve">The CFTC provides a “safe harbor” interpretation that </w:t>
            </w:r>
            <w:r w:rsidR="00DD394B" w:rsidRPr="005E667F">
              <w:rPr>
                <w:rFonts w:asciiTheme="minorHAnsi" w:hAnsiTheme="minorHAnsi" w:cstheme="minorHAnsi"/>
              </w:rPr>
              <w:t xml:space="preserve">an intangible commodity (that is not an “excluded commodity”) </w:t>
            </w:r>
            <w:r w:rsidRPr="005E667F">
              <w:rPr>
                <w:rFonts w:asciiTheme="minorHAnsi" w:hAnsiTheme="minorHAnsi" w:cstheme="minorHAnsi"/>
                <w:b/>
                <w:i/>
                <w:u w:val="single"/>
              </w:rPr>
              <w:t>is</w:t>
            </w:r>
            <w:r w:rsidRPr="005E667F">
              <w:rPr>
                <w:rFonts w:asciiTheme="minorHAnsi" w:hAnsiTheme="minorHAnsi" w:cstheme="minorHAnsi"/>
              </w:rPr>
              <w:t xml:space="preserve"> a nonfinancial commodity </w:t>
            </w:r>
            <w:r w:rsidR="00DD394B" w:rsidRPr="005E667F">
              <w:rPr>
                <w:rFonts w:asciiTheme="minorHAnsi" w:hAnsiTheme="minorHAnsi" w:cstheme="minorHAnsi"/>
                <w:b/>
                <w:i/>
                <w:u w:val="single"/>
              </w:rPr>
              <w:t>if</w:t>
            </w:r>
            <w:r w:rsidR="00DD394B" w:rsidRPr="005E667F">
              <w:rPr>
                <w:rFonts w:asciiTheme="minorHAnsi" w:hAnsiTheme="minorHAnsi" w:cstheme="minorHAnsi"/>
              </w:rPr>
              <w:t xml:space="preserve"> ownership of the commodity can be conveyed in some manner </w:t>
            </w:r>
            <w:r w:rsidR="00DD394B" w:rsidRPr="005E667F">
              <w:rPr>
                <w:rFonts w:asciiTheme="minorHAnsi" w:hAnsiTheme="minorHAnsi" w:cstheme="minorHAnsi"/>
                <w:b/>
                <w:i/>
                <w:u w:val="single"/>
              </w:rPr>
              <w:t>and</w:t>
            </w:r>
            <w:r w:rsidRPr="005E667F">
              <w:rPr>
                <w:rFonts w:asciiTheme="minorHAnsi" w:hAnsiTheme="minorHAnsi" w:cstheme="minorHAnsi"/>
                <w:b/>
                <w:i/>
                <w:u w:val="single"/>
              </w:rPr>
              <w:t xml:space="preserve"> if</w:t>
            </w:r>
            <w:r w:rsidRPr="005E667F">
              <w:rPr>
                <w:rFonts w:asciiTheme="minorHAnsi" w:hAnsiTheme="minorHAnsi" w:cstheme="minorHAnsi"/>
              </w:rPr>
              <w:t xml:space="preserve"> </w:t>
            </w:r>
            <w:r w:rsidR="00DD394B" w:rsidRPr="005E667F">
              <w:rPr>
                <w:rFonts w:asciiTheme="minorHAnsi" w:hAnsiTheme="minorHAnsi" w:cstheme="minorHAnsi"/>
              </w:rPr>
              <w:t>the commodity can be consumed (</w:t>
            </w:r>
            <w:r w:rsidR="00DD394B" w:rsidRPr="005E667F">
              <w:rPr>
                <w:rFonts w:asciiTheme="minorHAnsi" w:hAnsiTheme="minorHAnsi" w:cstheme="minorHAnsi"/>
                <w:i/>
                <w:u w:val="single"/>
              </w:rPr>
              <w:t>e.g</w:t>
            </w:r>
            <w:r w:rsidR="00DD394B" w:rsidRPr="005E667F">
              <w:rPr>
                <w:rFonts w:asciiTheme="minorHAnsi" w:hAnsiTheme="minorHAnsi" w:cstheme="minorHAnsi"/>
              </w:rPr>
              <w:t xml:space="preserve">., </w:t>
            </w:r>
            <w:r w:rsidRPr="005E667F">
              <w:rPr>
                <w:rFonts w:asciiTheme="minorHAnsi" w:hAnsiTheme="minorHAnsi" w:cstheme="minorHAnsi"/>
              </w:rPr>
              <w:t>it is of limited quantity, and the purchaser needs the commodity</w:t>
            </w:r>
            <w:r w:rsidR="002F1652" w:rsidRPr="005E667F">
              <w:rPr>
                <w:rFonts w:asciiTheme="minorHAnsi" w:hAnsiTheme="minorHAnsi" w:cstheme="minorHAnsi"/>
              </w:rPr>
              <w:t>, not cash, to fulfill its requirements</w:t>
            </w:r>
            <w:r w:rsidRPr="005E667F">
              <w:rPr>
                <w:rFonts w:asciiTheme="minorHAnsi" w:hAnsiTheme="minorHAnsi" w:cstheme="minorHAnsi"/>
              </w:rPr>
              <w:t xml:space="preserve">).  </w:t>
            </w:r>
            <w:r w:rsidR="000D5FA8" w:rsidRPr="005E667F">
              <w:rPr>
                <w:rFonts w:asciiTheme="minorHAnsi" w:hAnsiTheme="minorHAnsi" w:cstheme="minorHAnsi"/>
              </w:rPr>
              <w:t>PDR at 48233.</w:t>
            </w:r>
            <w:r w:rsidR="005A5ADA" w:rsidRPr="005E667F">
              <w:rPr>
                <w:rFonts w:asciiTheme="minorHAnsi" w:hAnsiTheme="minorHAnsi" w:cstheme="minorHAnsi"/>
              </w:rPr>
              <w:t xml:space="preserve"> </w:t>
            </w:r>
          </w:p>
          <w:p w:rsidR="00DD394B" w:rsidRPr="005E667F" w:rsidRDefault="00B96CC5" w:rsidP="008D3C55">
            <w:pPr>
              <w:pStyle w:val="RSBodyText"/>
              <w:rPr>
                <w:rFonts w:asciiTheme="minorHAnsi" w:hAnsiTheme="minorHAnsi" w:cstheme="minorHAnsi"/>
              </w:rPr>
            </w:pPr>
            <w:r w:rsidRPr="005E667F">
              <w:rPr>
                <w:rFonts w:asciiTheme="minorHAnsi" w:hAnsiTheme="minorHAnsi" w:cstheme="minorHAnsi"/>
              </w:rPr>
              <w:t xml:space="preserve">KEY POINT FOR ENERGY INDUSTRY: </w:t>
            </w:r>
            <w:r w:rsidR="002B4DB3" w:rsidRPr="005E667F">
              <w:rPr>
                <w:rFonts w:asciiTheme="minorHAnsi" w:hAnsiTheme="minorHAnsi" w:cstheme="minorHAnsi"/>
              </w:rPr>
              <w:t xml:space="preserve">Examples </w:t>
            </w:r>
            <w:r w:rsidR="004737D1" w:rsidRPr="005E667F">
              <w:rPr>
                <w:rFonts w:asciiTheme="minorHAnsi" w:hAnsiTheme="minorHAnsi" w:cstheme="minorHAnsi"/>
              </w:rPr>
              <w:t xml:space="preserve">given of nonfinancial commodities in </w:t>
            </w:r>
            <w:r w:rsidR="008D3C55" w:rsidRPr="005E667F">
              <w:rPr>
                <w:rFonts w:asciiTheme="minorHAnsi" w:hAnsiTheme="minorHAnsi" w:cstheme="minorHAnsi"/>
              </w:rPr>
              <w:t>the PDR</w:t>
            </w:r>
            <w:r w:rsidR="004737D1" w:rsidRPr="005E667F">
              <w:rPr>
                <w:rFonts w:asciiTheme="minorHAnsi" w:hAnsiTheme="minorHAnsi" w:cstheme="minorHAnsi"/>
              </w:rPr>
              <w:t xml:space="preserve"> are</w:t>
            </w:r>
            <w:r w:rsidRPr="005E667F">
              <w:rPr>
                <w:rFonts w:asciiTheme="minorHAnsi" w:hAnsiTheme="minorHAnsi" w:cstheme="minorHAnsi"/>
              </w:rPr>
              <w:t xml:space="preserve"> </w:t>
            </w:r>
            <w:r w:rsidR="00DD394B" w:rsidRPr="005E667F">
              <w:rPr>
                <w:rFonts w:asciiTheme="minorHAnsi" w:hAnsiTheme="minorHAnsi" w:cstheme="minorHAnsi"/>
              </w:rPr>
              <w:t>environmental commodities</w:t>
            </w:r>
            <w:r w:rsidRPr="005E667F">
              <w:rPr>
                <w:rFonts w:asciiTheme="minorHAnsi" w:hAnsiTheme="minorHAnsi" w:cstheme="minorHAnsi"/>
              </w:rPr>
              <w:t>,</w:t>
            </w:r>
            <w:r w:rsidR="00DD394B" w:rsidRPr="005E667F">
              <w:rPr>
                <w:rFonts w:asciiTheme="minorHAnsi" w:hAnsiTheme="minorHAnsi" w:cstheme="minorHAnsi"/>
              </w:rPr>
              <w:t xml:space="preserve"> such as emissions allowances</w:t>
            </w:r>
            <w:r w:rsidRPr="005E667F">
              <w:rPr>
                <w:rFonts w:asciiTheme="minorHAnsi" w:hAnsiTheme="minorHAnsi" w:cstheme="minorHAnsi"/>
              </w:rPr>
              <w:t>, and renewable energy credits</w:t>
            </w:r>
            <w:r w:rsidR="004737D1" w:rsidRPr="005E667F">
              <w:rPr>
                <w:rFonts w:asciiTheme="minorHAnsi" w:hAnsiTheme="minorHAnsi" w:cstheme="minorHAnsi"/>
              </w:rPr>
              <w:t>.</w:t>
            </w:r>
            <w:r w:rsidR="002F1652" w:rsidRPr="005E667F">
              <w:rPr>
                <w:rFonts w:asciiTheme="minorHAnsi" w:hAnsiTheme="minorHAnsi" w:cstheme="minorHAnsi"/>
              </w:rPr>
              <w:t xml:space="preserve"> See PDR at </w:t>
            </w:r>
            <w:r w:rsidR="00216E56" w:rsidRPr="005E667F">
              <w:rPr>
                <w:rFonts w:asciiTheme="minorHAnsi" w:hAnsiTheme="minorHAnsi" w:cstheme="minorHAnsi"/>
              </w:rPr>
              <w:t xml:space="preserve">48233 and 48316. </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Acceptable Parties</w:t>
            </w:r>
          </w:p>
        </w:tc>
        <w:tc>
          <w:tcPr>
            <w:tcW w:w="7848" w:type="dxa"/>
          </w:tcPr>
          <w:p w:rsidR="00DD394B" w:rsidRPr="005E667F" w:rsidRDefault="00216E56" w:rsidP="00DD394B">
            <w:pPr>
              <w:pStyle w:val="RSBodyText"/>
              <w:rPr>
                <w:rFonts w:asciiTheme="minorHAnsi" w:hAnsiTheme="minorHAnsi" w:cstheme="minorHAnsi"/>
              </w:rPr>
            </w:pPr>
            <w:r w:rsidRPr="005E667F">
              <w:rPr>
                <w:rFonts w:asciiTheme="minorHAnsi" w:hAnsiTheme="minorHAnsi" w:cstheme="minorHAnsi"/>
              </w:rPr>
              <w:t>“</w:t>
            </w:r>
            <w:r w:rsidR="00FA1926" w:rsidRPr="005E667F">
              <w:rPr>
                <w:rFonts w:asciiTheme="minorHAnsi" w:hAnsiTheme="minorHAnsi" w:cstheme="minorHAnsi"/>
              </w:rPr>
              <w:t>Commercial market participants</w:t>
            </w:r>
            <w:r w:rsidRPr="005E667F">
              <w:rPr>
                <w:rFonts w:asciiTheme="minorHAnsi" w:hAnsiTheme="minorHAnsi" w:cstheme="minorHAnsi"/>
              </w:rPr>
              <w:t>”</w:t>
            </w:r>
          </w:p>
          <w:p w:rsidR="00DD394B" w:rsidRPr="005E667F" w:rsidRDefault="00DD394B" w:rsidP="00DD394B">
            <w:pPr>
              <w:pStyle w:val="RSBodyText"/>
              <w:rPr>
                <w:rFonts w:asciiTheme="minorHAnsi" w:hAnsiTheme="minorHAnsi" w:cstheme="minorHAnsi"/>
              </w:rPr>
            </w:pPr>
            <w:r w:rsidRPr="005E667F">
              <w:rPr>
                <w:rFonts w:asciiTheme="minorHAnsi" w:hAnsiTheme="minorHAnsi" w:cstheme="minorHAnsi"/>
              </w:rPr>
              <w:t>Commercial: must be “related to the business of a producer, processor, fabrica</w:t>
            </w:r>
            <w:r w:rsidR="00B96CC5" w:rsidRPr="005E667F">
              <w:rPr>
                <w:rFonts w:asciiTheme="minorHAnsi" w:hAnsiTheme="minorHAnsi" w:cstheme="minorHAnsi"/>
              </w:rPr>
              <w:t xml:space="preserve">tor, refiner or merchandiser.” </w:t>
            </w:r>
            <w:r w:rsidR="000D5FA8" w:rsidRPr="005E667F">
              <w:rPr>
                <w:rFonts w:asciiTheme="minorHAnsi" w:hAnsiTheme="minorHAnsi" w:cstheme="minorHAnsi"/>
              </w:rPr>
              <w:t>PDR at 48229</w:t>
            </w:r>
            <w:r w:rsidR="005A5ADA" w:rsidRPr="005E667F">
              <w:rPr>
                <w:rFonts w:asciiTheme="minorHAnsi" w:hAnsiTheme="minorHAnsi" w:cstheme="minorHAnsi"/>
              </w:rPr>
              <w:t xml:space="preserve">. </w:t>
            </w:r>
            <w:r w:rsidR="00B96CC5" w:rsidRPr="005E667F">
              <w:rPr>
                <w:rFonts w:asciiTheme="minorHAnsi" w:hAnsiTheme="minorHAnsi" w:cstheme="minorHAnsi"/>
              </w:rPr>
              <w:t>Clarification requested that commercial users of commodity (or products or byproducts)</w:t>
            </w:r>
            <w:r w:rsidR="00216E56" w:rsidRPr="005E667F">
              <w:rPr>
                <w:rFonts w:asciiTheme="minorHAnsi" w:hAnsiTheme="minorHAnsi" w:cstheme="minorHAnsi"/>
              </w:rPr>
              <w:t xml:space="preserve"> are also</w:t>
            </w:r>
            <w:r w:rsidR="00B96CC5" w:rsidRPr="005E667F">
              <w:rPr>
                <w:rFonts w:asciiTheme="minorHAnsi" w:hAnsiTheme="minorHAnsi" w:cstheme="minorHAnsi"/>
              </w:rPr>
              <w:t xml:space="preserve"> included.</w:t>
            </w:r>
          </w:p>
          <w:p w:rsidR="00DD394B" w:rsidRPr="005E667F" w:rsidRDefault="00DD394B" w:rsidP="00DD394B">
            <w:pPr>
              <w:pStyle w:val="RSBodyText"/>
              <w:rPr>
                <w:rFonts w:asciiTheme="minorHAnsi" w:hAnsiTheme="minorHAnsi" w:cstheme="minorHAnsi"/>
              </w:rPr>
            </w:pPr>
            <w:r w:rsidRPr="005E667F">
              <w:rPr>
                <w:rFonts w:asciiTheme="minorHAnsi" w:hAnsiTheme="minorHAnsi" w:cstheme="minorHAnsi"/>
              </w:rPr>
              <w:t>The business activity in which a market participant makes or takes delivery</w:t>
            </w:r>
            <w:r w:rsidR="00216E56" w:rsidRPr="005E667F">
              <w:rPr>
                <w:rFonts w:asciiTheme="minorHAnsi" w:hAnsiTheme="minorHAnsi" w:cstheme="minorHAnsi"/>
              </w:rPr>
              <w:t xml:space="preserve"> of the commodity</w:t>
            </w:r>
            <w:r w:rsidRPr="005E667F">
              <w:rPr>
                <w:rFonts w:asciiTheme="minorHAnsi" w:hAnsiTheme="minorHAnsi" w:cstheme="minorHAnsi"/>
              </w:rPr>
              <w:t xml:space="preserve"> must be “commercial activity” for </w:t>
            </w:r>
            <w:r w:rsidR="004737D1" w:rsidRPr="005E667F">
              <w:rPr>
                <w:rFonts w:asciiTheme="minorHAnsi" w:hAnsiTheme="minorHAnsi" w:cstheme="minorHAnsi"/>
              </w:rPr>
              <w:t>the entity</w:t>
            </w:r>
            <w:r w:rsidRPr="005E667F">
              <w:rPr>
                <w:rFonts w:asciiTheme="minorHAnsi" w:hAnsiTheme="minorHAnsi" w:cstheme="minorHAnsi"/>
              </w:rPr>
              <w:t xml:space="preserve"> to be a commercial market participant.</w:t>
            </w:r>
            <w:r w:rsidR="00216E56" w:rsidRPr="005E667F">
              <w:rPr>
                <w:rFonts w:asciiTheme="minorHAnsi" w:hAnsiTheme="minorHAnsi" w:cstheme="minorHAnsi"/>
              </w:rPr>
              <w:t xml:space="preserve"> PDR at 48229.</w:t>
            </w:r>
          </w:p>
          <w:p w:rsidR="00B96CC5" w:rsidRPr="005E667F" w:rsidRDefault="001B0C05" w:rsidP="00DD394B">
            <w:pPr>
              <w:pStyle w:val="RSBodyText"/>
              <w:rPr>
                <w:rFonts w:asciiTheme="minorHAnsi" w:hAnsiTheme="minorHAnsi" w:cstheme="minorHAnsi"/>
              </w:rPr>
            </w:pPr>
            <w:r>
              <w:rPr>
                <w:rFonts w:asciiTheme="minorHAnsi" w:hAnsiTheme="minorHAnsi" w:cstheme="minorHAnsi"/>
              </w:rPr>
              <w:t>Clarification request</w:t>
            </w:r>
            <w:r w:rsidR="00B96CC5" w:rsidRPr="005E667F">
              <w:rPr>
                <w:rFonts w:asciiTheme="minorHAnsi" w:hAnsiTheme="minorHAnsi" w:cstheme="minorHAnsi"/>
              </w:rPr>
              <w:t xml:space="preserve"> that nonprofits and government entities have “commercial” activity, and so can be “commercial” market participants.</w:t>
            </w:r>
            <w:r w:rsidR="004737D1" w:rsidRPr="005E667F">
              <w:rPr>
                <w:rFonts w:asciiTheme="minorHAnsi" w:hAnsiTheme="minorHAnsi" w:cstheme="minorHAnsi"/>
              </w:rPr>
              <w:t xml:space="preserve"> Altho</w:t>
            </w:r>
            <w:r w:rsidR="000D4042" w:rsidRPr="005E667F">
              <w:rPr>
                <w:rFonts w:asciiTheme="minorHAnsi" w:hAnsiTheme="minorHAnsi" w:cstheme="minorHAnsi"/>
              </w:rPr>
              <w:t>ugh this interpretation is provided</w:t>
            </w:r>
            <w:r w:rsidR="004737D1" w:rsidRPr="005E667F">
              <w:rPr>
                <w:rFonts w:asciiTheme="minorHAnsi" w:hAnsiTheme="minorHAnsi" w:cstheme="minorHAnsi"/>
              </w:rPr>
              <w:t xml:space="preserve"> in other places in the CFTC’s rulemakings, it is not in this “safe harbor.”</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Acceptable Contract Provisions</w:t>
            </w:r>
          </w:p>
        </w:tc>
        <w:tc>
          <w:tcPr>
            <w:tcW w:w="7848" w:type="dxa"/>
          </w:tcPr>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Enforceable obligation to deliver, but delivery is deferred for reasons of commercial convenience or necessity.</w:t>
            </w:r>
            <w:r w:rsidR="008F6F47">
              <w:rPr>
                <w:rFonts w:asciiTheme="minorHAnsi" w:hAnsiTheme="minorHAnsi" w:cstheme="minorHAnsi"/>
              </w:rPr>
              <w:t xml:space="preserve"> PDR at 48229 FN 213. </w:t>
            </w:r>
          </w:p>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 xml:space="preserve">Bona fide termination rights, including, </w:t>
            </w:r>
            <w:r w:rsidRPr="005E667F">
              <w:rPr>
                <w:rFonts w:asciiTheme="minorHAnsi" w:hAnsiTheme="minorHAnsi" w:cstheme="minorHAnsi"/>
                <w:i/>
              </w:rPr>
              <w:t>e.g.</w:t>
            </w:r>
            <w:r w:rsidRPr="005E667F">
              <w:rPr>
                <w:rFonts w:asciiTheme="minorHAnsi" w:hAnsiTheme="minorHAnsi" w:cstheme="minorHAnsi"/>
              </w:rPr>
              <w:t xml:space="preserve">, force majeure provisions and termination rights triggered by events of default, such as counterparty insolvency, default or other inability to perform. </w:t>
            </w:r>
            <w:r w:rsidR="00CC0B9C" w:rsidRPr="005E667F">
              <w:rPr>
                <w:rFonts w:asciiTheme="minorHAnsi" w:hAnsiTheme="minorHAnsi" w:cstheme="minorHAnsi"/>
              </w:rPr>
              <w:t xml:space="preserve">PDR at </w:t>
            </w:r>
            <w:r w:rsidR="00CC0B9C" w:rsidRPr="005E667F">
              <w:rPr>
                <w:rFonts w:asciiTheme="minorHAnsi" w:hAnsiTheme="minorHAnsi" w:cstheme="minorHAnsi"/>
              </w:rPr>
              <w:softHyphen/>
            </w:r>
            <w:r w:rsidR="00CC0B9C" w:rsidRPr="005E667F">
              <w:rPr>
                <w:rFonts w:asciiTheme="minorHAnsi" w:hAnsiTheme="minorHAnsi" w:cstheme="minorHAnsi"/>
              </w:rPr>
              <w:softHyphen/>
            </w:r>
            <w:r w:rsidR="00CC0B9C" w:rsidRPr="005E667F">
              <w:rPr>
                <w:rFonts w:asciiTheme="minorHAnsi" w:hAnsiTheme="minorHAnsi" w:cstheme="minorHAnsi"/>
              </w:rPr>
              <w:softHyphen/>
            </w:r>
            <w:r w:rsidR="00CC0B9C" w:rsidRPr="005E667F">
              <w:rPr>
                <w:rFonts w:asciiTheme="minorHAnsi" w:hAnsiTheme="minorHAnsi" w:cstheme="minorHAnsi"/>
              </w:rPr>
              <w:softHyphen/>
            </w:r>
            <w:r w:rsidR="00CC0B9C" w:rsidRPr="005E667F">
              <w:rPr>
                <w:rFonts w:asciiTheme="minorHAnsi" w:hAnsiTheme="minorHAnsi" w:cstheme="minorHAnsi"/>
              </w:rPr>
              <w:softHyphen/>
            </w:r>
            <w:r w:rsidR="00CC0B9C" w:rsidRPr="005E667F">
              <w:rPr>
                <w:rFonts w:asciiTheme="minorHAnsi" w:hAnsiTheme="minorHAnsi" w:cstheme="minorHAnsi"/>
              </w:rPr>
              <w:softHyphen/>
            </w:r>
            <w:r w:rsidR="00CC0B9C" w:rsidRPr="005E667F">
              <w:rPr>
                <w:rFonts w:asciiTheme="minorHAnsi" w:hAnsiTheme="minorHAnsi" w:cstheme="minorHAnsi"/>
              </w:rPr>
              <w:softHyphen/>
            </w:r>
            <w:r w:rsidR="00CC0B9C" w:rsidRPr="005E667F">
              <w:rPr>
                <w:rFonts w:asciiTheme="minorHAnsi" w:hAnsiTheme="minorHAnsi" w:cstheme="minorHAnsi"/>
              </w:rPr>
              <w:softHyphen/>
            </w:r>
            <w:r w:rsidR="00CC0B9C" w:rsidRPr="005E667F">
              <w:rPr>
                <w:rFonts w:asciiTheme="minorHAnsi" w:hAnsiTheme="minorHAnsi" w:cstheme="minorHAnsi"/>
              </w:rPr>
              <w:softHyphen/>
            </w:r>
            <w:r w:rsidR="00CC0B9C" w:rsidRPr="005E667F">
              <w:rPr>
                <w:rFonts w:asciiTheme="minorHAnsi" w:hAnsiTheme="minorHAnsi" w:cstheme="minorHAnsi"/>
              </w:rPr>
              <w:softHyphen/>
            </w:r>
            <w:r w:rsidR="00CC0B9C" w:rsidRPr="005E667F">
              <w:rPr>
                <w:rFonts w:asciiTheme="minorHAnsi" w:hAnsiTheme="minorHAnsi" w:cstheme="minorHAnsi"/>
              </w:rPr>
              <w:softHyphen/>
              <w:t>48230</w:t>
            </w:r>
            <w:r w:rsidR="005A5ADA" w:rsidRPr="005E667F">
              <w:rPr>
                <w:rFonts w:asciiTheme="minorHAnsi" w:hAnsiTheme="minorHAnsi" w:cstheme="minorHAnsi"/>
              </w:rPr>
              <w:t>.</w:t>
            </w:r>
            <w:r w:rsidRPr="005E667F">
              <w:rPr>
                <w:rFonts w:asciiTheme="minorHAnsi" w:hAnsiTheme="minorHAnsi" w:cstheme="minorHAnsi"/>
              </w:rPr>
              <w:t xml:space="preserve"> </w:t>
            </w:r>
          </w:p>
          <w:p w:rsidR="00DD394B" w:rsidRPr="005E667F" w:rsidRDefault="00B96CC5" w:rsidP="00F44839">
            <w:pPr>
              <w:pStyle w:val="RSBodyText"/>
              <w:rPr>
                <w:rFonts w:asciiTheme="minorHAnsi" w:hAnsiTheme="minorHAnsi" w:cstheme="minorHAnsi"/>
              </w:rPr>
            </w:pPr>
            <w:r w:rsidRPr="005E667F">
              <w:rPr>
                <w:rFonts w:asciiTheme="minorHAnsi" w:hAnsiTheme="minorHAnsi" w:cstheme="minorHAnsi"/>
              </w:rPr>
              <w:t xml:space="preserve">Alternative </w:t>
            </w:r>
            <w:r w:rsidR="00F44839" w:rsidRPr="005E667F">
              <w:rPr>
                <w:rFonts w:asciiTheme="minorHAnsi" w:hAnsiTheme="minorHAnsi" w:cstheme="minorHAnsi"/>
              </w:rPr>
              <w:t>s</w:t>
            </w:r>
            <w:r w:rsidRPr="005E667F">
              <w:rPr>
                <w:rFonts w:asciiTheme="minorHAnsi" w:hAnsiTheme="minorHAnsi" w:cstheme="minorHAnsi"/>
              </w:rPr>
              <w:t>ettlement</w:t>
            </w:r>
            <w:r w:rsidR="00F44839" w:rsidRPr="005E667F">
              <w:rPr>
                <w:rFonts w:asciiTheme="minorHAnsi" w:hAnsiTheme="minorHAnsi" w:cstheme="minorHAnsi"/>
              </w:rPr>
              <w:t xml:space="preserve"> methods</w:t>
            </w:r>
            <w:r w:rsidR="00EB182C" w:rsidRPr="005E667F">
              <w:rPr>
                <w:rFonts w:asciiTheme="minorHAnsi" w:hAnsiTheme="minorHAnsi" w:cstheme="minorHAnsi"/>
              </w:rPr>
              <w:t>: (a) seller’s passage of title and buyer’s payment and acceptance of the underlying commodity; (b) taking delivery of the commodity in some instances and in others instead passing title to another intermediate purchaser in a chain; and (c) physically exchanging (</w:t>
            </w:r>
            <w:r w:rsidR="00EB182C" w:rsidRPr="005E667F">
              <w:rPr>
                <w:rFonts w:asciiTheme="minorHAnsi" w:hAnsiTheme="minorHAnsi" w:cstheme="minorHAnsi"/>
                <w:i/>
              </w:rPr>
              <w:t>i.e.</w:t>
            </w:r>
            <w:r w:rsidR="00EB182C" w:rsidRPr="005E667F">
              <w:rPr>
                <w:rFonts w:asciiTheme="minorHAnsi" w:hAnsiTheme="minorHAnsi" w:cstheme="minorHAnsi"/>
              </w:rPr>
              <w:t>, delivering) one quality, grade or type of physical commodity for another quality, grade or type of physical commodity.</w:t>
            </w:r>
            <w:r w:rsidR="00CC0B9C" w:rsidRPr="005E667F">
              <w:rPr>
                <w:rFonts w:asciiTheme="minorHAnsi" w:hAnsiTheme="minorHAnsi" w:cstheme="minorHAnsi"/>
              </w:rPr>
              <w:t xml:space="preserve"> PDR at 48230</w:t>
            </w:r>
            <w:r w:rsidR="005A5ADA" w:rsidRPr="005E667F">
              <w:rPr>
                <w:rFonts w:asciiTheme="minorHAnsi" w:hAnsiTheme="minorHAnsi" w:cstheme="minorHAnsi"/>
              </w:rPr>
              <w:t>.</w:t>
            </w:r>
          </w:p>
          <w:p w:rsidR="00FA1926" w:rsidRPr="005E667F" w:rsidRDefault="00FA1926" w:rsidP="00FA1926">
            <w:pPr>
              <w:pStyle w:val="RSBodyText"/>
              <w:rPr>
                <w:rFonts w:asciiTheme="minorHAnsi" w:hAnsiTheme="minorHAnsi" w:cstheme="minorHAnsi"/>
              </w:rPr>
            </w:pPr>
            <w:r w:rsidRPr="005E667F">
              <w:rPr>
                <w:rFonts w:asciiTheme="minorHAnsi" w:hAnsiTheme="minorHAnsi" w:cstheme="minorHAnsi"/>
              </w:rPr>
              <w:t>Liquidated damages (or cover damages) provision does not render such a contract ineligible for the forward exclusion, BUT cannot mask a lack of intent to deliver.  PDR at 48244.</w:t>
            </w:r>
          </w:p>
          <w:p w:rsidR="00FA1926" w:rsidRPr="005E667F" w:rsidRDefault="00FA1926" w:rsidP="00FA1926">
            <w:pPr>
              <w:pStyle w:val="RSBodyText"/>
              <w:rPr>
                <w:rFonts w:asciiTheme="minorHAnsi" w:hAnsiTheme="minorHAnsi" w:cstheme="minorHAnsi"/>
              </w:rPr>
            </w:pPr>
            <w:r w:rsidRPr="005E667F">
              <w:rPr>
                <w:rFonts w:asciiTheme="minorHAnsi" w:hAnsiTheme="minorHAnsi" w:cstheme="minorHAnsi"/>
              </w:rPr>
              <w:t xml:space="preserve">Payment trigger under a performance guarantee would not preclude a contract from being covered by the forward exclusion, BUT a guarantee of a swap may be considered a swap.  PDR at 48244 FN 394. CFTC plans to propose rules or interpretations on swap guarantees PDR at 48,226. </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Unacceptable Contract Provisions</w:t>
            </w:r>
          </w:p>
        </w:tc>
        <w:tc>
          <w:tcPr>
            <w:tcW w:w="7848" w:type="dxa"/>
          </w:tcPr>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 xml:space="preserve">Termination rights that are not </w:t>
            </w:r>
            <w:r w:rsidR="00F44839" w:rsidRPr="005E667F">
              <w:rPr>
                <w:rFonts w:asciiTheme="minorHAnsi" w:hAnsiTheme="minorHAnsi" w:cstheme="minorHAnsi"/>
              </w:rPr>
              <w:t>“</w:t>
            </w:r>
            <w:r w:rsidRPr="005E667F">
              <w:rPr>
                <w:rFonts w:asciiTheme="minorHAnsi" w:hAnsiTheme="minorHAnsi" w:cstheme="minorHAnsi"/>
              </w:rPr>
              <w:t>bona fide</w:t>
            </w:r>
            <w:r w:rsidR="001F6145" w:rsidRPr="005E667F">
              <w:rPr>
                <w:rFonts w:asciiTheme="minorHAnsi" w:hAnsiTheme="minorHAnsi" w:cstheme="minorHAnsi"/>
              </w:rPr>
              <w:t>,</w:t>
            </w:r>
            <w:r w:rsidR="00F44839" w:rsidRPr="005E667F">
              <w:rPr>
                <w:rFonts w:asciiTheme="minorHAnsi" w:hAnsiTheme="minorHAnsi" w:cstheme="minorHAnsi"/>
              </w:rPr>
              <w:t>”</w:t>
            </w:r>
            <w:r w:rsidRPr="005E667F">
              <w:rPr>
                <w:rFonts w:asciiTheme="minorHAnsi" w:hAnsiTheme="minorHAnsi" w:cstheme="minorHAnsi"/>
              </w:rPr>
              <w:t xml:space="preserve"> but for the purpose of evasion.</w:t>
            </w:r>
            <w:r w:rsidR="00FC5F8A" w:rsidRPr="005E667F">
              <w:rPr>
                <w:rFonts w:asciiTheme="minorHAnsi" w:hAnsiTheme="minorHAnsi" w:cstheme="minorHAnsi"/>
              </w:rPr>
              <w:t xml:space="preserve"> PDR at 48230</w:t>
            </w:r>
            <w:r w:rsidR="005A5ADA" w:rsidRPr="005E667F">
              <w:rPr>
                <w:rFonts w:asciiTheme="minorHAnsi" w:hAnsiTheme="minorHAnsi" w:cstheme="minorHAnsi"/>
              </w:rPr>
              <w:t xml:space="preserve">. </w:t>
            </w:r>
          </w:p>
          <w:p w:rsidR="00156A59" w:rsidRPr="005E667F" w:rsidRDefault="005A5ADA" w:rsidP="00156A59">
            <w:pPr>
              <w:pStyle w:val="RSBodyText"/>
              <w:rPr>
                <w:rFonts w:asciiTheme="minorHAnsi" w:hAnsiTheme="minorHAnsi" w:cstheme="minorHAnsi"/>
              </w:rPr>
            </w:pPr>
            <w:r w:rsidRPr="005E667F">
              <w:rPr>
                <w:rFonts w:asciiTheme="minorHAnsi" w:hAnsiTheme="minorHAnsi" w:cstheme="minorHAnsi"/>
              </w:rPr>
              <w:t>[Other contextual factors that the CFTC will consider in its facts and circumstances analysis: contract size; demonstrable commercial need for the product; underlying purpose of the contract; the regular practices of the commercial entity with respect to its general commercial business and forward/swap transactions, or whether the absence of physical settlement is based on a change in commercial circumstan</w:t>
            </w:r>
            <w:r w:rsidR="00F13621" w:rsidRPr="005E667F">
              <w:rPr>
                <w:rFonts w:asciiTheme="minorHAnsi" w:hAnsiTheme="minorHAnsi" w:cstheme="minorHAnsi"/>
              </w:rPr>
              <w:t>ces. PDR at 48231</w:t>
            </w:r>
            <w:r w:rsidRPr="005E667F">
              <w:rPr>
                <w:rFonts w:asciiTheme="minorHAnsi" w:hAnsiTheme="minorHAnsi" w:cstheme="minorHAnsi"/>
              </w:rPr>
              <w:t>.]</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Acceptable Intent</w:t>
            </w:r>
          </w:p>
        </w:tc>
        <w:tc>
          <w:tcPr>
            <w:tcW w:w="7848" w:type="dxa"/>
          </w:tcPr>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The transaction is intended to be physically settled</w:t>
            </w:r>
            <w:r w:rsidR="00F44839" w:rsidRPr="005E667F">
              <w:rPr>
                <w:rFonts w:asciiTheme="minorHAnsi" w:hAnsiTheme="minorHAnsi" w:cstheme="minorHAnsi"/>
              </w:rPr>
              <w:t xml:space="preserve"> (</w:t>
            </w:r>
            <w:r w:rsidR="008F6F47">
              <w:rPr>
                <w:rFonts w:asciiTheme="minorHAnsi" w:hAnsiTheme="minorHAnsi" w:cstheme="minorHAnsi"/>
              </w:rPr>
              <w:t>Key-</w:t>
            </w:r>
            <w:r w:rsidR="00F44839" w:rsidRPr="005E667F">
              <w:rPr>
                <w:rFonts w:asciiTheme="minorHAnsi" w:hAnsiTheme="minorHAnsi" w:cstheme="minorHAnsi"/>
              </w:rPr>
              <w:t>see statute)</w:t>
            </w:r>
            <w:r w:rsidRPr="005E667F">
              <w:rPr>
                <w:rFonts w:asciiTheme="minorHAnsi" w:hAnsiTheme="minorHAnsi" w:cstheme="minorHAnsi"/>
              </w:rPr>
              <w:t>.</w:t>
            </w:r>
            <w:r w:rsidR="0067112C" w:rsidRPr="005E667F">
              <w:rPr>
                <w:rFonts w:asciiTheme="minorHAnsi" w:hAnsiTheme="minorHAnsi" w:cstheme="minorHAnsi"/>
              </w:rPr>
              <w:t xml:space="preserve"> PDR at 48227</w:t>
            </w:r>
            <w:r w:rsidR="005A5ADA" w:rsidRPr="005E667F">
              <w:rPr>
                <w:rFonts w:asciiTheme="minorHAnsi" w:hAnsiTheme="minorHAnsi" w:cstheme="minorHAnsi"/>
              </w:rPr>
              <w:t xml:space="preserve">. </w:t>
            </w:r>
          </w:p>
          <w:p w:rsidR="00EB182C" w:rsidRPr="005E667F" w:rsidRDefault="00F44839" w:rsidP="00EB182C">
            <w:pPr>
              <w:pStyle w:val="RSBodyText"/>
              <w:rPr>
                <w:rFonts w:asciiTheme="minorHAnsi" w:hAnsiTheme="minorHAnsi" w:cstheme="minorHAnsi"/>
              </w:rPr>
            </w:pPr>
            <w:r w:rsidRPr="005E667F">
              <w:rPr>
                <w:rFonts w:asciiTheme="minorHAnsi" w:hAnsiTheme="minorHAnsi" w:cstheme="minorHAnsi"/>
              </w:rPr>
              <w:t>Intent is to t</w:t>
            </w:r>
            <w:r w:rsidR="00EB182C" w:rsidRPr="005E667F">
              <w:rPr>
                <w:rFonts w:asciiTheme="minorHAnsi" w:hAnsiTheme="minorHAnsi" w:cstheme="minorHAnsi"/>
              </w:rPr>
              <w:t>ransfer ownership of the commodity</w:t>
            </w:r>
            <w:r w:rsidRPr="005E667F">
              <w:rPr>
                <w:rFonts w:asciiTheme="minorHAnsi" w:hAnsiTheme="minorHAnsi" w:cstheme="minorHAnsi"/>
              </w:rPr>
              <w:t xml:space="preserve">, and not </w:t>
            </w:r>
            <w:r w:rsidR="00C3308A" w:rsidRPr="005E667F">
              <w:rPr>
                <w:rFonts w:asciiTheme="minorHAnsi" w:hAnsiTheme="minorHAnsi" w:cstheme="minorHAnsi"/>
              </w:rPr>
              <w:t>solely</w:t>
            </w:r>
            <w:r w:rsidR="008F6F47">
              <w:rPr>
                <w:rFonts w:asciiTheme="minorHAnsi" w:hAnsiTheme="minorHAnsi" w:cstheme="minorHAnsi"/>
              </w:rPr>
              <w:t xml:space="preserve"> transfer price risk of the commodity</w:t>
            </w:r>
            <w:r w:rsidR="00EB182C" w:rsidRPr="005E667F">
              <w:rPr>
                <w:rFonts w:asciiTheme="minorHAnsi" w:hAnsiTheme="minorHAnsi" w:cstheme="minorHAnsi"/>
              </w:rPr>
              <w:t>.</w:t>
            </w:r>
            <w:r w:rsidR="005A5ADA" w:rsidRPr="005E667F">
              <w:rPr>
                <w:rFonts w:asciiTheme="minorHAnsi" w:hAnsiTheme="minorHAnsi" w:cstheme="minorHAnsi"/>
              </w:rPr>
              <w:t xml:space="preserve"> PDR at </w:t>
            </w:r>
            <w:r w:rsidR="00FF3B18" w:rsidRPr="005E667F">
              <w:rPr>
                <w:rFonts w:asciiTheme="minorHAnsi" w:hAnsiTheme="minorHAnsi" w:cstheme="minorHAnsi"/>
              </w:rPr>
              <w:t>48228</w:t>
            </w:r>
            <w:r w:rsidR="005A5ADA" w:rsidRPr="005E667F">
              <w:rPr>
                <w:rFonts w:asciiTheme="minorHAnsi" w:hAnsiTheme="minorHAnsi" w:cstheme="minorHAnsi"/>
              </w:rPr>
              <w:t xml:space="preserve">. </w:t>
            </w:r>
          </w:p>
          <w:p w:rsidR="00DD394B" w:rsidRPr="005E667F" w:rsidRDefault="00DD394B" w:rsidP="00EB182C">
            <w:pPr>
              <w:pStyle w:val="RSBodyText"/>
              <w:rPr>
                <w:rFonts w:asciiTheme="minorHAnsi" w:hAnsiTheme="minorHAnsi" w:cstheme="minorHAnsi"/>
              </w:rPr>
            </w:pP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Unacceptable Intent</w:t>
            </w:r>
          </w:p>
        </w:tc>
        <w:tc>
          <w:tcPr>
            <w:tcW w:w="7848" w:type="dxa"/>
          </w:tcPr>
          <w:p w:rsidR="00DD394B" w:rsidRPr="005E667F" w:rsidRDefault="00F44839" w:rsidP="00F44839">
            <w:pPr>
              <w:pStyle w:val="RSBodyText"/>
              <w:rPr>
                <w:rFonts w:asciiTheme="minorHAnsi" w:hAnsiTheme="minorHAnsi" w:cstheme="minorHAnsi"/>
              </w:rPr>
            </w:pPr>
            <w:r w:rsidRPr="005E667F">
              <w:rPr>
                <w:rFonts w:asciiTheme="minorHAnsi" w:hAnsiTheme="minorHAnsi" w:cstheme="minorHAnsi"/>
              </w:rPr>
              <w:t>Solely to t</w:t>
            </w:r>
            <w:r w:rsidR="00EB182C" w:rsidRPr="005E667F">
              <w:rPr>
                <w:rFonts w:asciiTheme="minorHAnsi" w:hAnsiTheme="minorHAnsi" w:cstheme="minorHAnsi"/>
              </w:rPr>
              <w:t xml:space="preserve">ransfer price </w:t>
            </w:r>
            <w:r w:rsidRPr="005E667F">
              <w:rPr>
                <w:rFonts w:asciiTheme="minorHAnsi" w:hAnsiTheme="minorHAnsi" w:cstheme="minorHAnsi"/>
              </w:rPr>
              <w:t>risk of the commodity.  S</w:t>
            </w:r>
            <w:r w:rsidR="001F6145" w:rsidRPr="005E667F">
              <w:rPr>
                <w:rFonts w:asciiTheme="minorHAnsi" w:hAnsiTheme="minorHAnsi" w:cstheme="minorHAnsi"/>
              </w:rPr>
              <w:t>peculation</w:t>
            </w:r>
            <w:r w:rsidR="00EB182C" w:rsidRPr="005E667F">
              <w:rPr>
                <w:rFonts w:asciiTheme="minorHAnsi" w:hAnsiTheme="minorHAnsi" w:cstheme="minorHAnsi"/>
              </w:rPr>
              <w:t>.</w:t>
            </w:r>
            <w:r w:rsidR="0067112C" w:rsidRPr="005E667F">
              <w:rPr>
                <w:rFonts w:asciiTheme="minorHAnsi" w:hAnsiTheme="minorHAnsi" w:cstheme="minorHAnsi"/>
              </w:rPr>
              <w:t xml:space="preserve"> PDR at 48228</w:t>
            </w:r>
            <w:r w:rsidR="005A5ADA" w:rsidRPr="005E667F">
              <w:rPr>
                <w:rFonts w:asciiTheme="minorHAnsi" w:hAnsiTheme="minorHAnsi" w:cstheme="minorHAnsi"/>
              </w:rPr>
              <w:t>.</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Post-Contract Events that Affect Safe Harbor</w:t>
            </w:r>
          </w:p>
        </w:tc>
        <w:tc>
          <w:tcPr>
            <w:tcW w:w="7848" w:type="dxa"/>
          </w:tcPr>
          <w:p w:rsidR="00F44839" w:rsidRPr="005E667F" w:rsidRDefault="00F44839" w:rsidP="00EB182C">
            <w:pPr>
              <w:pStyle w:val="RSBodyText"/>
              <w:rPr>
                <w:rFonts w:asciiTheme="minorHAnsi" w:hAnsiTheme="minorHAnsi" w:cstheme="minorHAnsi"/>
              </w:rPr>
            </w:pPr>
            <w:r w:rsidRPr="005E667F">
              <w:rPr>
                <w:rFonts w:asciiTheme="minorHAnsi" w:hAnsiTheme="minorHAnsi" w:cstheme="minorHAnsi"/>
              </w:rPr>
              <w:t>“</w:t>
            </w:r>
            <w:r w:rsidR="00EB182C" w:rsidRPr="005E667F">
              <w:rPr>
                <w:rFonts w:asciiTheme="minorHAnsi" w:hAnsiTheme="minorHAnsi" w:cstheme="minorHAnsi"/>
              </w:rPr>
              <w:t>Book-out</w:t>
            </w:r>
            <w:r w:rsidRPr="005E667F">
              <w:rPr>
                <w:rFonts w:asciiTheme="minorHAnsi" w:hAnsiTheme="minorHAnsi" w:cstheme="minorHAnsi"/>
              </w:rPr>
              <w:t>s” (either bilateral or multi-lateral) must meet</w:t>
            </w:r>
            <w:r w:rsidR="00EB182C" w:rsidRPr="005E667F">
              <w:rPr>
                <w:rFonts w:asciiTheme="minorHAnsi" w:hAnsiTheme="minorHAnsi" w:cstheme="minorHAnsi"/>
              </w:rPr>
              <w:t xml:space="preserve"> the requirements specified in the Brent Interpretation</w:t>
            </w:r>
            <w:r w:rsidRPr="005E667F">
              <w:rPr>
                <w:rFonts w:asciiTheme="minorHAnsi" w:hAnsiTheme="minorHAnsi" w:cstheme="minorHAnsi"/>
                <w:i/>
              </w:rPr>
              <w:t>, i.e.,</w:t>
            </w:r>
            <w:r w:rsidRPr="005E667F">
              <w:rPr>
                <w:rFonts w:asciiTheme="minorHAnsi" w:hAnsiTheme="minorHAnsi" w:cstheme="minorHAnsi"/>
              </w:rPr>
              <w:t xml:space="preserve"> </w:t>
            </w:r>
            <w:r w:rsidR="00EB182C" w:rsidRPr="005E667F">
              <w:rPr>
                <w:rFonts w:asciiTheme="minorHAnsi" w:hAnsiTheme="minorHAnsi" w:cstheme="minorHAnsi"/>
              </w:rPr>
              <w:t xml:space="preserve">must be effectuated through a subsequent, separately negotiated agreement. </w:t>
            </w:r>
            <w:r w:rsidR="005A5ADA" w:rsidRPr="005E667F">
              <w:rPr>
                <w:rFonts w:asciiTheme="minorHAnsi" w:hAnsiTheme="minorHAnsi" w:cstheme="minorHAnsi"/>
              </w:rPr>
              <w:t>PDR at 48,230.</w:t>
            </w:r>
            <w:r w:rsidR="001F6145" w:rsidRPr="005E667F">
              <w:rPr>
                <w:rStyle w:val="FootnoteReference"/>
                <w:rFonts w:asciiTheme="minorHAnsi" w:hAnsiTheme="minorHAnsi" w:cstheme="minorHAnsi"/>
              </w:rPr>
              <w:footnoteReference w:id="5"/>
            </w:r>
            <w:r w:rsidR="005A5ADA" w:rsidRPr="005E667F">
              <w:rPr>
                <w:rFonts w:asciiTheme="minorHAnsi" w:hAnsiTheme="minorHAnsi" w:cstheme="minorHAnsi"/>
              </w:rPr>
              <w:t xml:space="preserve"> Although the Product Definitions Release is not clear as to what the ramifications would be should this not be the case</w:t>
            </w:r>
            <w:r w:rsidR="00546E56">
              <w:rPr>
                <w:rFonts w:asciiTheme="minorHAnsi" w:hAnsiTheme="minorHAnsi" w:cstheme="minorHAnsi"/>
              </w:rPr>
              <w:t>.  P</w:t>
            </w:r>
            <w:r w:rsidR="005A5ADA" w:rsidRPr="005E667F">
              <w:rPr>
                <w:rFonts w:asciiTheme="minorHAnsi" w:hAnsiTheme="minorHAnsi" w:cstheme="minorHAnsi"/>
              </w:rPr>
              <w:t>resumably</w:t>
            </w:r>
            <w:r w:rsidR="00546E56">
              <w:rPr>
                <w:rFonts w:asciiTheme="minorHAnsi" w:hAnsiTheme="minorHAnsi" w:cstheme="minorHAnsi"/>
              </w:rPr>
              <w:t>,</w:t>
            </w:r>
            <w:r w:rsidR="008F6F47">
              <w:rPr>
                <w:rFonts w:asciiTheme="minorHAnsi" w:hAnsiTheme="minorHAnsi" w:cstheme="minorHAnsi"/>
              </w:rPr>
              <w:t xml:space="preserve"> if the “book-out” were in the original agreement or anticipated or negotiated earlier</w:t>
            </w:r>
            <w:r w:rsidR="00546E56">
              <w:rPr>
                <w:rFonts w:asciiTheme="minorHAnsi" w:hAnsiTheme="minorHAnsi" w:cstheme="minorHAnsi"/>
              </w:rPr>
              <w:t>,</w:t>
            </w:r>
            <w:r w:rsidR="005A5ADA" w:rsidRPr="005E667F">
              <w:rPr>
                <w:rFonts w:asciiTheme="minorHAnsi" w:hAnsiTheme="minorHAnsi" w:cstheme="minorHAnsi"/>
              </w:rPr>
              <w:t xml:space="preserve"> the parties’ “intent to physically settle” would be called into question.  However, whether the transaction would then be a non-forward “swap”</w:t>
            </w:r>
            <w:r w:rsidR="007F4570">
              <w:rPr>
                <w:rFonts w:asciiTheme="minorHAnsi" w:hAnsiTheme="minorHAnsi" w:cstheme="minorHAnsi"/>
              </w:rPr>
              <w:t xml:space="preserve"> (DFA)</w:t>
            </w:r>
            <w:r w:rsidR="005A5ADA" w:rsidRPr="005E667F">
              <w:rPr>
                <w:rFonts w:asciiTheme="minorHAnsi" w:hAnsiTheme="minorHAnsi" w:cstheme="minorHAnsi"/>
              </w:rPr>
              <w:t xml:space="preserve"> or a non-forward “futures contract”</w:t>
            </w:r>
            <w:r w:rsidR="007F4570">
              <w:rPr>
                <w:rFonts w:asciiTheme="minorHAnsi" w:hAnsiTheme="minorHAnsi" w:cstheme="minorHAnsi"/>
              </w:rPr>
              <w:t xml:space="preserve"> (pre-DFA)</w:t>
            </w:r>
            <w:r w:rsidR="005A5ADA" w:rsidRPr="005E667F">
              <w:rPr>
                <w:rFonts w:asciiTheme="minorHAnsi" w:hAnsiTheme="minorHAnsi" w:cstheme="minorHAnsi"/>
              </w:rPr>
              <w:t xml:space="preserve"> is not clear. </w:t>
            </w:r>
            <w:r w:rsidR="00EB182C" w:rsidRPr="005E667F">
              <w:rPr>
                <w:rFonts w:asciiTheme="minorHAnsi" w:hAnsiTheme="minorHAnsi" w:cstheme="minorHAnsi"/>
              </w:rPr>
              <w:t xml:space="preserve"> </w:t>
            </w:r>
          </w:p>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 xml:space="preserve">In the event of an oral </w:t>
            </w:r>
            <w:r w:rsidR="00F44839" w:rsidRPr="005E667F">
              <w:rPr>
                <w:rFonts w:asciiTheme="minorHAnsi" w:hAnsiTheme="minorHAnsi" w:cstheme="minorHAnsi"/>
              </w:rPr>
              <w:t>“</w:t>
            </w:r>
            <w:r w:rsidR="005E667F" w:rsidRPr="005E667F">
              <w:rPr>
                <w:rFonts w:asciiTheme="minorHAnsi" w:hAnsiTheme="minorHAnsi" w:cstheme="minorHAnsi"/>
              </w:rPr>
              <w:t>book out</w:t>
            </w:r>
            <w:r w:rsidR="00F44839" w:rsidRPr="005E667F">
              <w:rPr>
                <w:rFonts w:asciiTheme="minorHAnsi" w:hAnsiTheme="minorHAnsi" w:cstheme="minorHAnsi"/>
              </w:rPr>
              <w:t>,”</w:t>
            </w:r>
            <w:r w:rsidRPr="005E667F">
              <w:rPr>
                <w:rFonts w:asciiTheme="minorHAnsi" w:hAnsiTheme="minorHAnsi" w:cstheme="minorHAnsi"/>
              </w:rPr>
              <w:t xml:space="preserve"> such </w:t>
            </w:r>
            <w:r w:rsidR="005E667F" w:rsidRPr="005E667F">
              <w:rPr>
                <w:rFonts w:asciiTheme="minorHAnsi" w:hAnsiTheme="minorHAnsi" w:cstheme="minorHAnsi"/>
              </w:rPr>
              <w:t>book out</w:t>
            </w:r>
            <w:r w:rsidRPr="005E667F">
              <w:rPr>
                <w:rFonts w:asciiTheme="minorHAnsi" w:hAnsiTheme="minorHAnsi" w:cstheme="minorHAnsi"/>
              </w:rPr>
              <w:t xml:space="preserve"> must be followed in a commercially reasonable timeframe by a </w:t>
            </w:r>
            <w:r w:rsidR="001F6145" w:rsidRPr="005E667F">
              <w:rPr>
                <w:rFonts w:asciiTheme="minorHAnsi" w:hAnsiTheme="minorHAnsi" w:cstheme="minorHAnsi"/>
              </w:rPr>
              <w:t>“</w:t>
            </w:r>
            <w:r w:rsidRPr="005E667F">
              <w:rPr>
                <w:rFonts w:asciiTheme="minorHAnsi" w:hAnsiTheme="minorHAnsi" w:cstheme="minorHAnsi"/>
              </w:rPr>
              <w:t>confirmation</w:t>
            </w:r>
            <w:r w:rsidR="001F6145" w:rsidRPr="005E667F">
              <w:rPr>
                <w:rStyle w:val="FootnoteReference"/>
                <w:rFonts w:asciiTheme="minorHAnsi" w:hAnsiTheme="minorHAnsi" w:cstheme="minorHAnsi"/>
              </w:rPr>
              <w:footnoteReference w:id="6"/>
            </w:r>
            <w:r w:rsidR="001F6145" w:rsidRPr="005E667F">
              <w:rPr>
                <w:rFonts w:asciiTheme="minorHAnsi" w:hAnsiTheme="minorHAnsi" w:cstheme="minorHAnsi"/>
              </w:rPr>
              <w:t>”</w:t>
            </w:r>
            <w:r w:rsidRPr="005E667F">
              <w:rPr>
                <w:rFonts w:asciiTheme="minorHAnsi" w:hAnsiTheme="minorHAnsi" w:cstheme="minorHAnsi"/>
              </w:rPr>
              <w:t xml:space="preserve"> in some type of written or electronic form.</w:t>
            </w:r>
            <w:r w:rsidR="00F44839" w:rsidRPr="005E667F">
              <w:rPr>
                <w:rFonts w:asciiTheme="minorHAnsi" w:hAnsiTheme="minorHAnsi" w:cstheme="minorHAnsi"/>
              </w:rPr>
              <w:t xml:space="preserve"> </w:t>
            </w:r>
            <w:r w:rsidR="005A5ADA" w:rsidRPr="005E667F">
              <w:rPr>
                <w:rFonts w:asciiTheme="minorHAnsi" w:hAnsiTheme="minorHAnsi" w:cstheme="minorHAnsi"/>
              </w:rPr>
              <w:t xml:space="preserve">PDR at 48,230. </w:t>
            </w:r>
            <w:r w:rsidR="00F44839" w:rsidRPr="005E667F">
              <w:rPr>
                <w:rFonts w:asciiTheme="minorHAnsi" w:hAnsiTheme="minorHAnsi" w:cstheme="minorHAnsi"/>
              </w:rPr>
              <w:t>Comments</w:t>
            </w:r>
            <w:r w:rsidR="00546E56">
              <w:rPr>
                <w:rFonts w:asciiTheme="minorHAnsi" w:hAnsiTheme="minorHAnsi" w:cstheme="minorHAnsi"/>
              </w:rPr>
              <w:t xml:space="preserve"> were submitted</w:t>
            </w:r>
            <w:r w:rsidR="00F44839" w:rsidRPr="005E667F">
              <w:rPr>
                <w:rFonts w:asciiTheme="minorHAnsi" w:hAnsiTheme="minorHAnsi" w:cstheme="minorHAnsi"/>
              </w:rPr>
              <w:t xml:space="preserve"> on this issue, </w:t>
            </w:r>
            <w:r w:rsidR="005A5ADA" w:rsidRPr="005E667F">
              <w:rPr>
                <w:rFonts w:asciiTheme="minorHAnsi" w:hAnsiTheme="minorHAnsi" w:cstheme="minorHAnsi"/>
              </w:rPr>
              <w:t xml:space="preserve">as well as </w:t>
            </w:r>
            <w:r w:rsidR="00F44839" w:rsidRPr="005E667F">
              <w:rPr>
                <w:rFonts w:asciiTheme="minorHAnsi" w:hAnsiTheme="minorHAnsi" w:cstheme="minorHAnsi"/>
              </w:rPr>
              <w:t xml:space="preserve">challenge </w:t>
            </w:r>
            <w:r w:rsidR="005A5ADA" w:rsidRPr="005E667F">
              <w:rPr>
                <w:rFonts w:asciiTheme="minorHAnsi" w:hAnsiTheme="minorHAnsi" w:cstheme="minorHAnsi"/>
              </w:rPr>
              <w:t>in</w:t>
            </w:r>
            <w:r w:rsidR="00F44839" w:rsidRPr="005E667F">
              <w:rPr>
                <w:rFonts w:asciiTheme="minorHAnsi" w:hAnsiTheme="minorHAnsi" w:cstheme="minorHAnsi"/>
              </w:rPr>
              <w:t xml:space="preserve"> OMB</w:t>
            </w:r>
            <w:r w:rsidR="005A5ADA" w:rsidRPr="005E667F">
              <w:rPr>
                <w:rFonts w:asciiTheme="minorHAnsi" w:hAnsiTheme="minorHAnsi" w:cstheme="minorHAnsi"/>
              </w:rPr>
              <w:t xml:space="preserve"> proceeding</w:t>
            </w:r>
            <w:r w:rsidR="00F44839" w:rsidRPr="005E667F">
              <w:rPr>
                <w:rFonts w:asciiTheme="minorHAnsi" w:hAnsiTheme="minorHAnsi" w:cstheme="minorHAnsi"/>
              </w:rPr>
              <w:t>, along with request for “no action.”</w:t>
            </w:r>
          </w:p>
          <w:p w:rsidR="00DD394B" w:rsidRPr="005E667F" w:rsidRDefault="00EB182C" w:rsidP="001F6145">
            <w:pPr>
              <w:pStyle w:val="RSBodyText"/>
              <w:rPr>
                <w:rFonts w:asciiTheme="minorHAnsi" w:hAnsiTheme="minorHAnsi" w:cstheme="minorHAnsi"/>
              </w:rPr>
            </w:pPr>
            <w:r w:rsidRPr="005E667F">
              <w:rPr>
                <w:rFonts w:asciiTheme="minorHAnsi" w:hAnsiTheme="minorHAnsi" w:cstheme="minorHAnsi"/>
              </w:rPr>
              <w:t xml:space="preserve">If a </w:t>
            </w:r>
            <w:r w:rsidR="001F6145" w:rsidRPr="005E667F">
              <w:rPr>
                <w:rFonts w:asciiTheme="minorHAnsi" w:hAnsiTheme="minorHAnsi" w:cstheme="minorHAnsi"/>
              </w:rPr>
              <w:t>“</w:t>
            </w:r>
            <w:r w:rsidRPr="005E667F">
              <w:rPr>
                <w:rFonts w:asciiTheme="minorHAnsi" w:hAnsiTheme="minorHAnsi" w:cstheme="minorHAnsi"/>
              </w:rPr>
              <w:t>non-commercial market participant</w:t>
            </w:r>
            <w:r w:rsidR="001F6145" w:rsidRPr="005E667F">
              <w:rPr>
                <w:rFonts w:asciiTheme="minorHAnsi" w:hAnsiTheme="minorHAnsi" w:cstheme="minorHAnsi"/>
              </w:rPr>
              <w:t>”</w:t>
            </w:r>
            <w:r w:rsidRPr="005E667F">
              <w:rPr>
                <w:rFonts w:asciiTheme="minorHAnsi" w:hAnsiTheme="minorHAnsi" w:cstheme="minorHAnsi"/>
              </w:rPr>
              <w:t xml:space="preserve"> is an intermediate purchaser in a delivery chain, then the transaction </w:t>
            </w:r>
            <w:r w:rsidR="001F6145" w:rsidRPr="005E667F">
              <w:rPr>
                <w:rFonts w:asciiTheme="minorHAnsi" w:hAnsiTheme="minorHAnsi" w:cstheme="minorHAnsi"/>
              </w:rPr>
              <w:t>may not be</w:t>
            </w:r>
            <w:r w:rsidRPr="005E667F">
              <w:rPr>
                <w:rFonts w:asciiTheme="minorHAnsi" w:hAnsiTheme="minorHAnsi" w:cstheme="minorHAnsi"/>
              </w:rPr>
              <w:t xml:space="preserve"> a commercial merchandising transaction, and the parties cannot rely on the Brent Interpretation safe harbor.  </w:t>
            </w:r>
            <w:r w:rsidR="006F0658" w:rsidRPr="005E667F">
              <w:rPr>
                <w:rFonts w:asciiTheme="minorHAnsi" w:hAnsiTheme="minorHAnsi" w:cstheme="minorHAnsi"/>
              </w:rPr>
              <w:t>PDR at 48230</w:t>
            </w:r>
            <w:r w:rsidR="005A5ADA" w:rsidRPr="005E667F">
              <w:rPr>
                <w:rFonts w:asciiTheme="minorHAnsi" w:hAnsiTheme="minorHAnsi" w:cstheme="minorHAnsi"/>
              </w:rPr>
              <w:t>, s</w:t>
            </w:r>
            <w:r w:rsidR="00F44839" w:rsidRPr="005E667F">
              <w:rPr>
                <w:rFonts w:asciiTheme="minorHAnsi" w:hAnsiTheme="minorHAnsi" w:cstheme="minorHAnsi"/>
              </w:rPr>
              <w:t>ee footnote</w:t>
            </w:r>
            <w:r w:rsidRPr="005E667F">
              <w:rPr>
                <w:rFonts w:asciiTheme="minorHAnsi" w:hAnsiTheme="minorHAnsi" w:cstheme="minorHAnsi"/>
              </w:rPr>
              <w:t xml:space="preserve"> 235.</w:t>
            </w:r>
            <w:r w:rsidR="00F44839" w:rsidRPr="005E667F">
              <w:rPr>
                <w:rFonts w:asciiTheme="minorHAnsi" w:hAnsiTheme="minorHAnsi" w:cstheme="minorHAnsi"/>
              </w:rPr>
              <w:t xml:space="preserve"> Comment</w:t>
            </w:r>
            <w:r w:rsidR="007F4570">
              <w:rPr>
                <w:rFonts w:asciiTheme="minorHAnsi" w:hAnsiTheme="minorHAnsi" w:cstheme="minorHAnsi"/>
              </w:rPr>
              <w:t>ed</w:t>
            </w:r>
            <w:r w:rsidR="00F44839" w:rsidRPr="005E667F">
              <w:rPr>
                <w:rFonts w:asciiTheme="minorHAnsi" w:hAnsiTheme="minorHAnsi" w:cstheme="minorHAnsi"/>
              </w:rPr>
              <w:t xml:space="preserve"> on this issue.</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Contract Examples</w:t>
            </w:r>
            <w:r w:rsidR="00546E56">
              <w:rPr>
                <w:rFonts w:asciiTheme="minorHAnsi" w:hAnsiTheme="minorHAnsi" w:cstheme="minorHAnsi"/>
                <w:b/>
              </w:rPr>
              <w:t xml:space="preserve"> Cited as Consistent with this Safe Harbor</w:t>
            </w:r>
          </w:p>
        </w:tc>
        <w:tc>
          <w:tcPr>
            <w:tcW w:w="7848" w:type="dxa"/>
          </w:tcPr>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Physical netting agreements</w:t>
            </w:r>
            <w:r w:rsidR="00F44839" w:rsidRPr="005E667F">
              <w:rPr>
                <w:rFonts w:asciiTheme="minorHAnsi" w:hAnsiTheme="minorHAnsi" w:cstheme="minorHAnsi"/>
              </w:rPr>
              <w:t xml:space="preserve">, or clauses in the base agreement </w:t>
            </w:r>
            <w:r w:rsidRPr="005E667F">
              <w:rPr>
                <w:rFonts w:asciiTheme="minorHAnsi" w:hAnsiTheme="minorHAnsi" w:cstheme="minorHAnsi"/>
              </w:rPr>
              <w:t xml:space="preserve"> (</w:t>
            </w:r>
            <w:r w:rsidRPr="005E667F">
              <w:rPr>
                <w:rFonts w:asciiTheme="minorHAnsi" w:hAnsiTheme="minorHAnsi" w:cstheme="minorHAnsi"/>
                <w:i/>
              </w:rPr>
              <w:t>e.g.,</w:t>
            </w:r>
            <w:r w:rsidRPr="005E667F">
              <w:rPr>
                <w:rFonts w:asciiTheme="minorHAnsi" w:hAnsiTheme="minorHAnsi" w:cstheme="minorHAnsi"/>
              </w:rPr>
              <w:t xml:space="preserve"> Edison Electric Institute Master </w:t>
            </w:r>
            <w:r w:rsidR="00F44839" w:rsidRPr="005E667F">
              <w:rPr>
                <w:rFonts w:asciiTheme="minorHAnsi" w:hAnsiTheme="minorHAnsi" w:cstheme="minorHAnsi"/>
              </w:rPr>
              <w:t>P</w:t>
            </w:r>
            <w:r w:rsidRPr="005E667F">
              <w:rPr>
                <w:rFonts w:asciiTheme="minorHAnsi" w:hAnsiTheme="minorHAnsi" w:cstheme="minorHAnsi"/>
              </w:rPr>
              <w:t>ower Purchase and Sale Agreement)</w:t>
            </w:r>
            <w:r w:rsidR="00F44839" w:rsidRPr="005E667F">
              <w:rPr>
                <w:rFonts w:asciiTheme="minorHAnsi" w:hAnsiTheme="minorHAnsi" w:cstheme="minorHAnsi"/>
              </w:rPr>
              <w:t>,</w:t>
            </w:r>
            <w:r w:rsidRPr="005E667F">
              <w:rPr>
                <w:rFonts w:asciiTheme="minorHAnsi" w:hAnsiTheme="minorHAnsi" w:cstheme="minorHAnsi"/>
              </w:rPr>
              <w:t xml:space="preserve"> that contain provisions contemplating the reduction to a net delivery amount of future, unintentionally offsetting delivery obligations; provided that the parties had a bona fide intent, when entering into the transactions, to make or take delivery </w:t>
            </w:r>
            <w:r w:rsidR="003C0303" w:rsidRPr="005E667F">
              <w:rPr>
                <w:rFonts w:asciiTheme="minorHAnsi" w:hAnsiTheme="minorHAnsi" w:cstheme="minorHAnsi"/>
              </w:rPr>
              <w:t xml:space="preserve">of </w:t>
            </w:r>
            <w:r w:rsidR="00697FC8" w:rsidRPr="005E667F">
              <w:rPr>
                <w:rFonts w:asciiTheme="minorHAnsi" w:hAnsiTheme="minorHAnsi" w:cstheme="minorHAnsi"/>
              </w:rPr>
              <w:t>the commodity. PDR at 48230</w:t>
            </w:r>
            <w:r w:rsidR="003C0303" w:rsidRPr="005E667F">
              <w:rPr>
                <w:rFonts w:asciiTheme="minorHAnsi" w:hAnsiTheme="minorHAnsi" w:cstheme="minorHAnsi"/>
              </w:rPr>
              <w:t xml:space="preserve">. </w:t>
            </w:r>
          </w:p>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Physical exchange transactions (described in II.B.2(a)(iv))</w:t>
            </w:r>
            <w:r w:rsidR="003C0303" w:rsidRPr="005E667F">
              <w:rPr>
                <w:rFonts w:asciiTheme="minorHAnsi" w:hAnsiTheme="minorHAnsi" w:cstheme="minorHAnsi"/>
              </w:rPr>
              <w:t xml:space="preserve">. PDR at </w:t>
            </w:r>
            <w:r w:rsidR="00FF3B18" w:rsidRPr="005E667F">
              <w:rPr>
                <w:rFonts w:asciiTheme="minorHAnsi" w:hAnsiTheme="minorHAnsi" w:cstheme="minorHAnsi"/>
              </w:rPr>
              <w:t>48235</w:t>
            </w:r>
            <w:r w:rsidR="003C0303" w:rsidRPr="005E667F">
              <w:rPr>
                <w:rFonts w:asciiTheme="minorHAnsi" w:hAnsiTheme="minorHAnsi" w:cstheme="minorHAnsi"/>
              </w:rPr>
              <w:t xml:space="preserve">. </w:t>
            </w:r>
          </w:p>
          <w:p w:rsidR="00DD394B" w:rsidRPr="005E667F" w:rsidRDefault="00EB182C" w:rsidP="00156A59">
            <w:pPr>
              <w:pStyle w:val="RSBodyText"/>
              <w:rPr>
                <w:rFonts w:asciiTheme="minorHAnsi" w:hAnsiTheme="minorHAnsi" w:cstheme="minorHAnsi"/>
              </w:rPr>
            </w:pPr>
            <w:r w:rsidRPr="005E667F">
              <w:rPr>
                <w:rFonts w:asciiTheme="minorHAnsi" w:hAnsiTheme="minorHAnsi" w:cstheme="minorHAnsi"/>
              </w:rPr>
              <w:t>Fuel Delivery Agreements (described in II.B.2(a)(v))</w:t>
            </w:r>
            <w:r w:rsidR="00F44839" w:rsidRPr="005E667F">
              <w:rPr>
                <w:rFonts w:asciiTheme="minorHAnsi" w:hAnsiTheme="minorHAnsi" w:cstheme="minorHAnsi"/>
              </w:rPr>
              <w:t xml:space="preserve"> –</w:t>
            </w:r>
            <w:r w:rsidR="00001475" w:rsidRPr="005E667F">
              <w:rPr>
                <w:rFonts w:asciiTheme="minorHAnsi" w:hAnsiTheme="minorHAnsi" w:cstheme="minorHAnsi"/>
              </w:rPr>
              <w:t>PDR at 48236</w:t>
            </w:r>
            <w:r w:rsidR="003C0303" w:rsidRPr="005E667F">
              <w:rPr>
                <w:rFonts w:asciiTheme="minorHAnsi" w:hAnsiTheme="minorHAnsi" w:cstheme="minorHAnsi"/>
              </w:rPr>
              <w:t>.</w:t>
            </w:r>
          </w:p>
        </w:tc>
      </w:tr>
    </w:tbl>
    <w:p w:rsidR="00DD394B" w:rsidRPr="005E667F" w:rsidRDefault="00DD394B" w:rsidP="00DD394B">
      <w:pPr>
        <w:pStyle w:val="RSBodyText"/>
        <w:rPr>
          <w:rFonts w:asciiTheme="minorHAnsi" w:hAnsiTheme="minorHAnsi" w:cstheme="minorHAnsi"/>
        </w:rPr>
      </w:pPr>
    </w:p>
    <w:p w:rsidR="008D3C55" w:rsidRPr="005E667F" w:rsidRDefault="00DD394B" w:rsidP="008D3C55">
      <w:pPr>
        <w:rPr>
          <w:rFonts w:asciiTheme="minorHAnsi" w:hAnsiTheme="minorHAnsi" w:cstheme="minorHAnsi"/>
        </w:rPr>
      </w:pPr>
      <w:r w:rsidRPr="005E667F">
        <w:rPr>
          <w:rFonts w:asciiTheme="minorHAnsi" w:hAnsiTheme="minorHAnsi" w:cstheme="minorHAnsi"/>
        </w:rPr>
        <w:br w:type="page"/>
      </w:r>
    </w:p>
    <w:p w:rsidR="00DD394B" w:rsidRPr="005E667F" w:rsidRDefault="00EB182C" w:rsidP="008D3C55">
      <w:pPr>
        <w:pStyle w:val="Heading1"/>
        <w:rPr>
          <w:rFonts w:asciiTheme="minorHAnsi" w:hAnsiTheme="minorHAnsi" w:cstheme="minorHAnsi"/>
          <w:szCs w:val="24"/>
        </w:rPr>
      </w:pPr>
      <w:r w:rsidRPr="005E667F">
        <w:rPr>
          <w:rFonts w:asciiTheme="minorHAnsi" w:hAnsiTheme="minorHAnsi" w:cstheme="minorHAnsi"/>
          <w:b/>
          <w:szCs w:val="24"/>
        </w:rPr>
        <w:t xml:space="preserve">Nonfinancial Commodity Forward Contract, </w:t>
      </w:r>
      <w:r w:rsidRPr="005E667F">
        <w:rPr>
          <w:rFonts w:asciiTheme="minorHAnsi" w:hAnsiTheme="minorHAnsi" w:cstheme="minorHAnsi"/>
          <w:b/>
          <w:i/>
          <w:szCs w:val="24"/>
          <w:u w:val="single"/>
        </w:rPr>
        <w:t>with</w:t>
      </w:r>
      <w:r w:rsidRPr="005E667F">
        <w:rPr>
          <w:rFonts w:asciiTheme="minorHAnsi" w:hAnsiTheme="minorHAnsi" w:cstheme="minorHAnsi"/>
          <w:b/>
          <w:szCs w:val="24"/>
        </w:rPr>
        <w:t xml:space="preserve"> Embedded Option</w:t>
      </w:r>
      <w:r w:rsidR="00F44839" w:rsidRPr="005E667F">
        <w:rPr>
          <w:rFonts w:asciiTheme="minorHAnsi" w:hAnsiTheme="minorHAnsi" w:cstheme="minorHAnsi"/>
          <w:b/>
          <w:szCs w:val="24"/>
        </w:rPr>
        <w:t>(s)</w:t>
      </w:r>
      <w:r w:rsidR="00C3308A" w:rsidRPr="005E667F">
        <w:rPr>
          <w:rFonts w:asciiTheme="minorHAnsi" w:hAnsiTheme="minorHAnsi" w:cstheme="minorHAnsi"/>
          <w:b/>
          <w:szCs w:val="24"/>
        </w:rPr>
        <w:t xml:space="preserve"> Affecting Price and Other Term</w:t>
      </w:r>
      <w:r w:rsidR="00684330">
        <w:rPr>
          <w:rFonts w:asciiTheme="minorHAnsi" w:hAnsiTheme="minorHAnsi" w:cstheme="minorHAnsi"/>
          <w:b/>
          <w:szCs w:val="24"/>
        </w:rPr>
        <w:t>s But Not</w:t>
      </w:r>
      <w:r w:rsidR="00C3308A" w:rsidRPr="005E667F">
        <w:rPr>
          <w:rFonts w:asciiTheme="minorHAnsi" w:hAnsiTheme="minorHAnsi" w:cstheme="minorHAnsi"/>
          <w:b/>
          <w:szCs w:val="24"/>
        </w:rPr>
        <w:t xml:space="preserve"> Delivery Term </w:t>
      </w:r>
      <w:r w:rsidRPr="005E667F">
        <w:rPr>
          <w:rStyle w:val="FootnoteReference"/>
          <w:rFonts w:asciiTheme="minorHAnsi" w:hAnsiTheme="minorHAnsi" w:cstheme="minorHAnsi"/>
          <w:szCs w:val="24"/>
        </w:rPr>
        <w:footnoteReference w:id="7"/>
      </w:r>
      <w:r w:rsidRPr="005E667F">
        <w:rPr>
          <w:rStyle w:val="FootnoteReference"/>
          <w:rFonts w:asciiTheme="minorHAnsi" w:hAnsiTheme="minorHAnsi" w:cstheme="minorHAnsi"/>
          <w:b/>
          <w:szCs w:val="24"/>
          <w:vertAlign w:val="baseline"/>
        </w:rPr>
        <w:t xml:space="preserve"> </w:t>
      </w:r>
    </w:p>
    <w:tbl>
      <w:tblPr>
        <w:tblStyle w:val="TableGrid"/>
        <w:tblW w:w="0" w:type="auto"/>
        <w:tblLook w:val="04A0" w:firstRow="1" w:lastRow="0" w:firstColumn="1" w:lastColumn="0" w:noHBand="0" w:noVBand="1"/>
      </w:tblPr>
      <w:tblGrid>
        <w:gridCol w:w="1728"/>
        <w:gridCol w:w="7848"/>
      </w:tblGrid>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Key Definition</w:t>
            </w:r>
          </w:p>
        </w:tc>
        <w:tc>
          <w:tcPr>
            <w:tcW w:w="7848" w:type="dxa"/>
          </w:tcPr>
          <w:p w:rsidR="00DD394B" w:rsidRPr="005E667F" w:rsidRDefault="00F44839" w:rsidP="006C7F8D">
            <w:pPr>
              <w:pStyle w:val="RSBodyText"/>
              <w:rPr>
                <w:rFonts w:asciiTheme="minorHAnsi" w:hAnsiTheme="minorHAnsi" w:cstheme="minorHAnsi"/>
              </w:rPr>
            </w:pPr>
            <w:r w:rsidRPr="005E667F">
              <w:rPr>
                <w:rFonts w:asciiTheme="minorHAnsi" w:hAnsiTheme="minorHAnsi" w:cstheme="minorHAnsi"/>
              </w:rPr>
              <w:t>Assume same as above.</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Acceptable Parties</w:t>
            </w:r>
          </w:p>
        </w:tc>
        <w:tc>
          <w:tcPr>
            <w:tcW w:w="7848" w:type="dxa"/>
          </w:tcPr>
          <w:p w:rsidR="00DD394B" w:rsidRPr="005E667F" w:rsidRDefault="00F44839" w:rsidP="006C7F8D">
            <w:pPr>
              <w:pStyle w:val="RSBodyText"/>
              <w:rPr>
                <w:rFonts w:asciiTheme="minorHAnsi" w:hAnsiTheme="minorHAnsi" w:cstheme="minorHAnsi"/>
              </w:rPr>
            </w:pPr>
            <w:r w:rsidRPr="005E667F">
              <w:rPr>
                <w:rFonts w:asciiTheme="minorHAnsi" w:hAnsiTheme="minorHAnsi" w:cstheme="minorHAnsi"/>
              </w:rPr>
              <w:t>Assume same as above.</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Acceptable Contract Provisions</w:t>
            </w:r>
          </w:p>
        </w:tc>
        <w:tc>
          <w:tcPr>
            <w:tcW w:w="7848" w:type="dxa"/>
          </w:tcPr>
          <w:p w:rsidR="00EB182C" w:rsidRPr="005E667F" w:rsidRDefault="003C0303" w:rsidP="00EB182C">
            <w:pPr>
              <w:pStyle w:val="RSBodyText"/>
              <w:rPr>
                <w:rFonts w:asciiTheme="minorHAnsi" w:hAnsiTheme="minorHAnsi" w:cstheme="minorHAnsi"/>
              </w:rPr>
            </w:pPr>
            <w:r w:rsidRPr="005E667F">
              <w:rPr>
                <w:rFonts w:asciiTheme="minorHAnsi" w:hAnsiTheme="minorHAnsi" w:cstheme="minorHAnsi"/>
              </w:rPr>
              <w:t>“</w:t>
            </w:r>
            <w:r w:rsidR="00EB182C" w:rsidRPr="005E667F">
              <w:rPr>
                <w:rFonts w:asciiTheme="minorHAnsi" w:hAnsiTheme="minorHAnsi" w:cstheme="minorHAnsi"/>
              </w:rPr>
              <w:t>Embedded options:</w:t>
            </w:r>
            <w:r w:rsidR="00A562A7" w:rsidRPr="005E667F">
              <w:rPr>
                <w:rFonts w:asciiTheme="minorHAnsi" w:hAnsiTheme="minorHAnsi" w:cstheme="minorHAnsi"/>
              </w:rPr>
              <w:t>” PDR at 48237</w:t>
            </w:r>
            <w:r w:rsidRPr="005E667F">
              <w:rPr>
                <w:rFonts w:asciiTheme="minorHAnsi" w:hAnsiTheme="minorHAnsi" w:cstheme="minorHAnsi"/>
              </w:rPr>
              <w:t xml:space="preserve">. </w:t>
            </w:r>
          </w:p>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1. May be used to adjust the forward contract price, but do not undermine the overall nature of the contract as a forward contract;</w:t>
            </w:r>
          </w:p>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2. Do not target the delivery term, so that the predominant feature of the contract is actual delivery; and</w:t>
            </w:r>
          </w:p>
          <w:p w:rsidR="00156A59" w:rsidRPr="005E667F" w:rsidRDefault="00EB182C" w:rsidP="00EB182C">
            <w:pPr>
              <w:pStyle w:val="RSBodyText"/>
              <w:rPr>
                <w:rFonts w:asciiTheme="minorHAnsi" w:hAnsiTheme="minorHAnsi" w:cstheme="minorHAnsi"/>
              </w:rPr>
            </w:pPr>
            <w:r w:rsidRPr="005E667F">
              <w:rPr>
                <w:rFonts w:asciiTheme="minorHAnsi" w:hAnsiTheme="minorHAnsi" w:cstheme="minorHAnsi"/>
              </w:rPr>
              <w:t>3. Cannot be severed and marketed separately from the overall forward contract in which they are embedded.</w:t>
            </w:r>
            <w:r w:rsidR="00F44839" w:rsidRPr="005E667F">
              <w:rPr>
                <w:rFonts w:asciiTheme="minorHAnsi" w:hAnsiTheme="minorHAnsi" w:cstheme="minorHAnsi"/>
              </w:rPr>
              <w:t xml:space="preserve"> Clarification requested.</w:t>
            </w:r>
          </w:p>
          <w:p w:rsidR="00156A59" w:rsidRPr="005E667F" w:rsidRDefault="00156A59" w:rsidP="00EB182C">
            <w:pPr>
              <w:pStyle w:val="RSBodyText"/>
              <w:rPr>
                <w:rFonts w:asciiTheme="minorHAnsi" w:hAnsiTheme="minorHAnsi" w:cstheme="minorHAnsi"/>
              </w:rPr>
            </w:pPr>
            <w:r w:rsidRPr="005E667F">
              <w:rPr>
                <w:rFonts w:asciiTheme="minorHAnsi" w:hAnsiTheme="minorHAnsi" w:cstheme="minorHAnsi"/>
              </w:rPr>
              <w:t>4. Examples of permissible forward contract price adjustments at FN 331. PDR at 48237.</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Unacceptable Contract Provisions</w:t>
            </w:r>
          </w:p>
        </w:tc>
        <w:tc>
          <w:tcPr>
            <w:tcW w:w="7848" w:type="dxa"/>
          </w:tcPr>
          <w:p w:rsidR="00DD394B" w:rsidRPr="005E667F" w:rsidRDefault="00F44839" w:rsidP="006C7F8D">
            <w:pPr>
              <w:pStyle w:val="RSBodyText"/>
              <w:rPr>
                <w:rFonts w:asciiTheme="minorHAnsi" w:hAnsiTheme="minorHAnsi" w:cstheme="minorHAnsi"/>
              </w:rPr>
            </w:pPr>
            <w:r w:rsidRPr="005E667F">
              <w:rPr>
                <w:rFonts w:asciiTheme="minorHAnsi" w:hAnsiTheme="minorHAnsi" w:cstheme="minorHAnsi"/>
              </w:rPr>
              <w:t>Assume same as above.</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Acceptable Intent</w:t>
            </w:r>
          </w:p>
        </w:tc>
        <w:tc>
          <w:tcPr>
            <w:tcW w:w="7848" w:type="dxa"/>
          </w:tcPr>
          <w:p w:rsidR="00DD394B" w:rsidRPr="005E667F" w:rsidRDefault="00F44839" w:rsidP="006C7F8D">
            <w:pPr>
              <w:pStyle w:val="RSBodyText"/>
              <w:rPr>
                <w:rFonts w:asciiTheme="minorHAnsi" w:hAnsiTheme="minorHAnsi" w:cstheme="minorHAnsi"/>
              </w:rPr>
            </w:pPr>
            <w:r w:rsidRPr="005E667F">
              <w:rPr>
                <w:rFonts w:asciiTheme="minorHAnsi" w:hAnsiTheme="minorHAnsi" w:cstheme="minorHAnsi"/>
              </w:rPr>
              <w:t>Assume same as above.</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Unacceptable Intent</w:t>
            </w:r>
          </w:p>
        </w:tc>
        <w:tc>
          <w:tcPr>
            <w:tcW w:w="7848" w:type="dxa"/>
          </w:tcPr>
          <w:p w:rsidR="00DD394B" w:rsidRPr="005E667F" w:rsidRDefault="00F44839" w:rsidP="006C7F8D">
            <w:pPr>
              <w:pStyle w:val="RSBodyText"/>
              <w:rPr>
                <w:rFonts w:asciiTheme="minorHAnsi" w:hAnsiTheme="minorHAnsi" w:cstheme="minorHAnsi"/>
              </w:rPr>
            </w:pPr>
            <w:r w:rsidRPr="005E667F">
              <w:rPr>
                <w:rFonts w:asciiTheme="minorHAnsi" w:hAnsiTheme="minorHAnsi" w:cstheme="minorHAnsi"/>
              </w:rPr>
              <w:t>Assume same as above.</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Post-Contract Events that Affect Safe Harbor</w:t>
            </w:r>
          </w:p>
        </w:tc>
        <w:tc>
          <w:tcPr>
            <w:tcW w:w="7848" w:type="dxa"/>
          </w:tcPr>
          <w:p w:rsidR="00DD394B" w:rsidRPr="005E667F" w:rsidRDefault="00F44839" w:rsidP="006C7F8D">
            <w:pPr>
              <w:pStyle w:val="RSBodyText"/>
              <w:rPr>
                <w:rFonts w:asciiTheme="minorHAnsi" w:hAnsiTheme="minorHAnsi" w:cstheme="minorHAnsi"/>
              </w:rPr>
            </w:pPr>
            <w:r w:rsidRPr="005E667F">
              <w:rPr>
                <w:rFonts w:asciiTheme="minorHAnsi" w:hAnsiTheme="minorHAnsi" w:cstheme="minorHAnsi"/>
              </w:rPr>
              <w:t>Assume same as above.</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Acceptable Contract Examples</w:t>
            </w:r>
          </w:p>
        </w:tc>
        <w:tc>
          <w:tcPr>
            <w:tcW w:w="7848" w:type="dxa"/>
          </w:tcPr>
          <w:p w:rsidR="00DD394B" w:rsidRPr="005E667F" w:rsidRDefault="00F44839" w:rsidP="006C7F8D">
            <w:pPr>
              <w:pStyle w:val="RSBodyText"/>
              <w:rPr>
                <w:rFonts w:asciiTheme="minorHAnsi" w:hAnsiTheme="minorHAnsi" w:cstheme="minorHAnsi"/>
              </w:rPr>
            </w:pPr>
            <w:r w:rsidRPr="005E667F">
              <w:rPr>
                <w:rFonts w:asciiTheme="minorHAnsi" w:hAnsiTheme="minorHAnsi" w:cstheme="minorHAnsi"/>
              </w:rPr>
              <w:t>Assume same as above.</w:t>
            </w:r>
            <w:r w:rsidR="00B208D5" w:rsidRPr="005E667F">
              <w:rPr>
                <w:rFonts w:asciiTheme="minorHAnsi" w:hAnsiTheme="minorHAnsi" w:cstheme="minorHAnsi"/>
              </w:rPr>
              <w:t xml:space="preserve"> </w:t>
            </w:r>
          </w:p>
        </w:tc>
      </w:tr>
    </w:tbl>
    <w:p w:rsidR="00DD394B" w:rsidRPr="005E667F" w:rsidRDefault="00DD394B" w:rsidP="006E7C2F">
      <w:pPr>
        <w:pStyle w:val="RSBodyText"/>
        <w:rPr>
          <w:rFonts w:asciiTheme="minorHAnsi" w:hAnsiTheme="minorHAnsi" w:cstheme="minorHAnsi"/>
          <w:b/>
        </w:rPr>
      </w:pPr>
      <w:r w:rsidRPr="005E667F">
        <w:rPr>
          <w:rFonts w:asciiTheme="minorHAnsi" w:hAnsiTheme="minorHAnsi" w:cstheme="minorHAnsi"/>
          <w:b/>
        </w:rPr>
        <w:t xml:space="preserve"> </w:t>
      </w:r>
      <w:r w:rsidRPr="005E667F">
        <w:rPr>
          <w:rFonts w:asciiTheme="minorHAnsi" w:hAnsiTheme="minorHAnsi" w:cstheme="minorHAnsi"/>
          <w:b/>
        </w:rPr>
        <w:br w:type="page"/>
      </w:r>
    </w:p>
    <w:p w:rsidR="00E90D30" w:rsidRPr="007F4570" w:rsidRDefault="00EB182C" w:rsidP="00E90D30">
      <w:pPr>
        <w:pStyle w:val="Heading1"/>
        <w:rPr>
          <w:rFonts w:asciiTheme="minorHAnsi" w:hAnsiTheme="minorHAnsi" w:cstheme="minorHAnsi"/>
          <w:b/>
          <w:szCs w:val="24"/>
        </w:rPr>
      </w:pPr>
      <w:r w:rsidRPr="005E667F">
        <w:rPr>
          <w:rFonts w:asciiTheme="minorHAnsi" w:hAnsiTheme="minorHAnsi" w:cstheme="minorHAnsi"/>
          <w:b/>
          <w:szCs w:val="24"/>
        </w:rPr>
        <w:t xml:space="preserve">Nonfinancial Commodity Forward, </w:t>
      </w:r>
      <w:r w:rsidRPr="005E667F">
        <w:rPr>
          <w:rFonts w:asciiTheme="minorHAnsi" w:hAnsiTheme="minorHAnsi" w:cstheme="minorHAnsi"/>
          <w:b/>
          <w:i/>
          <w:szCs w:val="24"/>
          <w:u w:val="single"/>
        </w:rPr>
        <w:t>with</w:t>
      </w:r>
      <w:r w:rsidRPr="005E667F">
        <w:rPr>
          <w:rFonts w:asciiTheme="minorHAnsi" w:hAnsiTheme="minorHAnsi" w:cstheme="minorHAnsi"/>
          <w:b/>
          <w:szCs w:val="24"/>
        </w:rPr>
        <w:t xml:space="preserve"> </w:t>
      </w:r>
      <w:r w:rsidR="003C0303" w:rsidRPr="005E667F">
        <w:rPr>
          <w:rFonts w:asciiTheme="minorHAnsi" w:hAnsiTheme="minorHAnsi" w:cstheme="minorHAnsi"/>
          <w:b/>
          <w:szCs w:val="24"/>
        </w:rPr>
        <w:t xml:space="preserve">Embedded </w:t>
      </w:r>
      <w:r w:rsidRPr="005E667F">
        <w:rPr>
          <w:rFonts w:asciiTheme="minorHAnsi" w:hAnsiTheme="minorHAnsi" w:cstheme="minorHAnsi"/>
          <w:b/>
          <w:szCs w:val="24"/>
        </w:rPr>
        <w:t>Volumetric Optionality</w:t>
      </w:r>
      <w:r w:rsidRPr="005E667F">
        <w:rPr>
          <w:rStyle w:val="FootnoteReference"/>
          <w:rFonts w:asciiTheme="minorHAnsi" w:hAnsiTheme="minorHAnsi" w:cstheme="minorHAnsi"/>
          <w:szCs w:val="24"/>
        </w:rPr>
        <w:footnoteReference w:id="8"/>
      </w:r>
      <w:r w:rsidR="00752020" w:rsidRPr="007F4570">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728"/>
        <w:gridCol w:w="7848"/>
      </w:tblGrid>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Key Definition</w:t>
            </w:r>
          </w:p>
        </w:tc>
        <w:tc>
          <w:tcPr>
            <w:tcW w:w="7848" w:type="dxa"/>
          </w:tcPr>
          <w:p w:rsidR="00DD394B" w:rsidRPr="005E667F" w:rsidRDefault="00B208D5" w:rsidP="006C7F8D">
            <w:pPr>
              <w:pStyle w:val="RSBodyText"/>
              <w:rPr>
                <w:rFonts w:asciiTheme="minorHAnsi" w:hAnsiTheme="minorHAnsi" w:cstheme="minorHAnsi"/>
              </w:rPr>
            </w:pPr>
            <w:r w:rsidRPr="005E667F">
              <w:rPr>
                <w:rFonts w:asciiTheme="minorHAnsi" w:hAnsiTheme="minorHAnsi" w:cstheme="minorHAnsi"/>
              </w:rPr>
              <w:t>Assume same as above.</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Acceptable Parties</w:t>
            </w:r>
          </w:p>
        </w:tc>
        <w:tc>
          <w:tcPr>
            <w:tcW w:w="7848" w:type="dxa"/>
          </w:tcPr>
          <w:p w:rsidR="00DD394B" w:rsidRPr="005E667F" w:rsidRDefault="00EB182C" w:rsidP="006C7F8D">
            <w:pPr>
              <w:pStyle w:val="RSBodyText"/>
              <w:rPr>
                <w:rFonts w:asciiTheme="minorHAnsi" w:hAnsiTheme="minorHAnsi" w:cstheme="minorHAnsi"/>
              </w:rPr>
            </w:pPr>
            <w:r w:rsidRPr="005E667F">
              <w:rPr>
                <w:rFonts w:asciiTheme="minorHAnsi" w:hAnsiTheme="minorHAnsi" w:cstheme="minorHAnsi"/>
              </w:rPr>
              <w:t>Both parties must be “commercial” parties</w:t>
            </w:r>
            <w:r w:rsidR="00B208D5" w:rsidRPr="005E667F">
              <w:rPr>
                <w:rFonts w:asciiTheme="minorHAnsi" w:hAnsiTheme="minorHAnsi" w:cstheme="minorHAnsi"/>
              </w:rPr>
              <w:t xml:space="preserve"> (see element 6</w:t>
            </w:r>
            <w:r w:rsidR="0092768C" w:rsidRPr="005E667F">
              <w:rPr>
                <w:rFonts w:asciiTheme="minorHAnsi" w:hAnsiTheme="minorHAnsi" w:cstheme="minorHAnsi"/>
              </w:rPr>
              <w:t xml:space="preserve"> below, PDR at 48238</w:t>
            </w:r>
            <w:r w:rsidR="00B208D5" w:rsidRPr="005E667F">
              <w:rPr>
                <w:rFonts w:asciiTheme="minorHAnsi" w:hAnsiTheme="minorHAnsi" w:cstheme="minorHAnsi"/>
              </w:rPr>
              <w:t>). Clarification requested re “commercial market participant.”</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Acceptable Contract Provisions</w:t>
            </w:r>
          </w:p>
        </w:tc>
        <w:tc>
          <w:tcPr>
            <w:tcW w:w="7848" w:type="dxa"/>
          </w:tcPr>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Seven elements:</w:t>
            </w:r>
            <w:r w:rsidR="00A562A7" w:rsidRPr="005E667F">
              <w:rPr>
                <w:rFonts w:asciiTheme="minorHAnsi" w:hAnsiTheme="minorHAnsi" w:cstheme="minorHAnsi"/>
              </w:rPr>
              <w:t xml:space="preserve"> PDR at 48238</w:t>
            </w:r>
            <w:r w:rsidR="003C0303" w:rsidRPr="005E667F">
              <w:rPr>
                <w:rFonts w:asciiTheme="minorHAnsi" w:hAnsiTheme="minorHAnsi" w:cstheme="minorHAnsi"/>
              </w:rPr>
              <w:t xml:space="preserve">. </w:t>
            </w:r>
          </w:p>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 xml:space="preserve">1. </w:t>
            </w:r>
            <w:r w:rsidR="003C0303" w:rsidRPr="005E667F">
              <w:rPr>
                <w:rFonts w:asciiTheme="minorHAnsi" w:hAnsiTheme="minorHAnsi" w:cstheme="minorHAnsi"/>
              </w:rPr>
              <w:t xml:space="preserve">Embedded </w:t>
            </w:r>
            <w:r w:rsidRPr="005E667F">
              <w:rPr>
                <w:rFonts w:asciiTheme="minorHAnsi" w:hAnsiTheme="minorHAnsi" w:cstheme="minorHAnsi"/>
              </w:rPr>
              <w:t xml:space="preserve">optionality does not undermine the overall nature of the contract as a forward contract; </w:t>
            </w:r>
          </w:p>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2. Predominant feature of the agreement, contract, or transaction is actual delivery;</w:t>
            </w:r>
          </w:p>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 xml:space="preserve">3. Embedded optionality cannot be severed and marketed separately from the overall agreement, contract, or transaction in which it is embedded; </w:t>
            </w:r>
          </w:p>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4. Seller of a nonfinancial commodity intends, at the time it enters into the contract, to deliver the underlying nonfinancial commodity if the option is exercised;</w:t>
            </w:r>
          </w:p>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 xml:space="preserve">5. Buyer of nonfinancial commodity intends, at the time it enters into the contract, to take delivery if it exercises the option; </w:t>
            </w:r>
          </w:p>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6. Both parties are commercial parties; and</w:t>
            </w:r>
          </w:p>
          <w:p w:rsidR="00DD394B" w:rsidRPr="005E667F" w:rsidRDefault="00EB182C" w:rsidP="00EB182C">
            <w:pPr>
              <w:pStyle w:val="RSBodyText"/>
              <w:rPr>
                <w:rFonts w:asciiTheme="minorHAnsi" w:hAnsiTheme="minorHAnsi" w:cstheme="minorHAnsi"/>
              </w:rPr>
            </w:pPr>
            <w:r w:rsidRPr="005E667F">
              <w:rPr>
                <w:rFonts w:asciiTheme="minorHAnsi" w:hAnsiTheme="minorHAnsi" w:cstheme="minorHAnsi"/>
              </w:rPr>
              <w:t xml:space="preserve">7. Exercise or non-exercise of the embedded volumetric optionality is based </w:t>
            </w:r>
            <w:r w:rsidRPr="005E667F">
              <w:rPr>
                <w:rFonts w:asciiTheme="minorHAnsi" w:hAnsiTheme="minorHAnsi" w:cstheme="minorHAnsi"/>
                <w:b/>
                <w:i/>
                <w:u w:val="single"/>
              </w:rPr>
              <w:t>primarily</w:t>
            </w:r>
            <w:r w:rsidRPr="005E667F">
              <w:rPr>
                <w:rFonts w:asciiTheme="minorHAnsi" w:hAnsiTheme="minorHAnsi" w:cstheme="minorHAnsi"/>
              </w:rPr>
              <w:t xml:space="preserve"> on physical factors or regulatory requirements that are outside the control of the parties and re influencing demand for, or supply of, the nonfinancial commodity.</w:t>
            </w:r>
            <w:r w:rsidR="00B208D5" w:rsidRPr="005E667F">
              <w:rPr>
                <w:rFonts w:asciiTheme="minorHAnsi" w:hAnsiTheme="minorHAnsi" w:cstheme="minorHAnsi"/>
              </w:rPr>
              <w:t xml:space="preserve"> Comments requested withdrawal of this regulatory safe harbor.</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Unacceptable Contract Provisions</w:t>
            </w:r>
          </w:p>
        </w:tc>
        <w:tc>
          <w:tcPr>
            <w:tcW w:w="7848" w:type="dxa"/>
          </w:tcPr>
          <w:p w:rsidR="00DD394B" w:rsidRPr="005E667F" w:rsidRDefault="00DD394B" w:rsidP="006C7F8D">
            <w:pPr>
              <w:pStyle w:val="RSBodyText"/>
              <w:rPr>
                <w:rFonts w:asciiTheme="minorHAnsi" w:hAnsiTheme="minorHAnsi" w:cstheme="minorHAnsi"/>
              </w:rPr>
            </w:pP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Acceptable Intent</w:t>
            </w:r>
          </w:p>
        </w:tc>
        <w:tc>
          <w:tcPr>
            <w:tcW w:w="7848" w:type="dxa"/>
          </w:tcPr>
          <w:p w:rsidR="00DD394B" w:rsidRPr="005E667F" w:rsidRDefault="00EB182C" w:rsidP="003C0303">
            <w:pPr>
              <w:pStyle w:val="RSBodyText"/>
              <w:rPr>
                <w:rFonts w:asciiTheme="minorHAnsi" w:hAnsiTheme="minorHAnsi" w:cstheme="minorHAnsi"/>
              </w:rPr>
            </w:pPr>
            <w:r w:rsidRPr="005E667F">
              <w:rPr>
                <w:rFonts w:asciiTheme="minorHAnsi" w:hAnsiTheme="minorHAnsi" w:cstheme="minorHAnsi"/>
              </w:rPr>
              <w:t>See #4 and #5 in the “Acceptable Contract Provisions</w:t>
            </w:r>
            <w:r w:rsidR="003C0303" w:rsidRPr="005E667F">
              <w:rPr>
                <w:rFonts w:asciiTheme="minorHAnsi" w:hAnsiTheme="minorHAnsi" w:cstheme="minorHAnsi"/>
              </w:rPr>
              <w:t>.</w:t>
            </w:r>
            <w:r w:rsidRPr="005E667F">
              <w:rPr>
                <w:rFonts w:asciiTheme="minorHAnsi" w:hAnsiTheme="minorHAnsi" w:cstheme="minorHAnsi"/>
              </w:rPr>
              <w:t>”</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Unacceptable Intent</w:t>
            </w:r>
          </w:p>
        </w:tc>
        <w:tc>
          <w:tcPr>
            <w:tcW w:w="7848" w:type="dxa"/>
          </w:tcPr>
          <w:p w:rsidR="00DD394B" w:rsidRPr="005E667F" w:rsidRDefault="00DD394B" w:rsidP="006C7F8D">
            <w:pPr>
              <w:pStyle w:val="RSBodyText"/>
              <w:rPr>
                <w:rFonts w:asciiTheme="minorHAnsi" w:hAnsiTheme="minorHAnsi" w:cstheme="minorHAnsi"/>
              </w:rPr>
            </w:pP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Post-Contract Events that Affect Safe Harbor</w:t>
            </w:r>
          </w:p>
        </w:tc>
        <w:tc>
          <w:tcPr>
            <w:tcW w:w="7848" w:type="dxa"/>
          </w:tcPr>
          <w:p w:rsidR="007F4570" w:rsidRDefault="00EB182C" w:rsidP="00EB182C">
            <w:pPr>
              <w:pStyle w:val="RSBodyText"/>
              <w:rPr>
                <w:rFonts w:asciiTheme="minorHAnsi" w:hAnsiTheme="minorHAnsi" w:cstheme="minorHAnsi"/>
              </w:rPr>
            </w:pPr>
            <w:r w:rsidRPr="005E667F">
              <w:rPr>
                <w:rFonts w:asciiTheme="minorHAnsi" w:hAnsiTheme="minorHAnsi" w:cstheme="minorHAnsi"/>
              </w:rPr>
              <w:t>See #7 in the “Acceptable Contract Provisions</w:t>
            </w:r>
            <w:r w:rsidR="003C0303" w:rsidRPr="005E667F">
              <w:rPr>
                <w:rFonts w:asciiTheme="minorHAnsi" w:hAnsiTheme="minorHAnsi" w:cstheme="minorHAnsi"/>
              </w:rPr>
              <w:t>.</w:t>
            </w:r>
            <w:r w:rsidRPr="005E667F">
              <w:rPr>
                <w:rFonts w:asciiTheme="minorHAnsi" w:hAnsiTheme="minorHAnsi" w:cstheme="minorHAnsi"/>
              </w:rPr>
              <w:t xml:space="preserve">” </w:t>
            </w:r>
            <w:r w:rsidR="0092768C" w:rsidRPr="005E667F">
              <w:rPr>
                <w:rFonts w:asciiTheme="minorHAnsi" w:hAnsiTheme="minorHAnsi" w:cstheme="minorHAnsi"/>
              </w:rPr>
              <w:t>Footnotes say</w:t>
            </w:r>
            <w:r w:rsidRPr="005E667F">
              <w:rPr>
                <w:rFonts w:asciiTheme="minorHAnsi" w:hAnsiTheme="minorHAnsi" w:cstheme="minorHAnsi"/>
              </w:rPr>
              <w:t xml:space="preserve"> </w:t>
            </w:r>
            <w:r w:rsidR="003C0303" w:rsidRPr="005E667F">
              <w:rPr>
                <w:rFonts w:asciiTheme="minorHAnsi" w:hAnsiTheme="minorHAnsi" w:cstheme="minorHAnsi"/>
                <w:b/>
                <w:i/>
                <w:u w:val="single"/>
              </w:rPr>
              <w:t>p</w:t>
            </w:r>
            <w:r w:rsidRPr="005E667F">
              <w:rPr>
                <w:rFonts w:asciiTheme="minorHAnsi" w:hAnsiTheme="minorHAnsi" w:cstheme="minorHAnsi"/>
                <w:b/>
                <w:i/>
                <w:u w:val="single"/>
              </w:rPr>
              <w:t>redominant</w:t>
            </w:r>
            <w:r w:rsidRPr="005E667F">
              <w:rPr>
                <w:rFonts w:asciiTheme="minorHAnsi" w:hAnsiTheme="minorHAnsi" w:cstheme="minorHAnsi"/>
              </w:rPr>
              <w:t xml:space="preserve"> basis for failing to exercise the option would </w:t>
            </w:r>
            <w:r w:rsidR="003C0303" w:rsidRPr="005E667F">
              <w:rPr>
                <w:rFonts w:asciiTheme="minorHAnsi" w:hAnsiTheme="minorHAnsi" w:cstheme="minorHAnsi"/>
              </w:rPr>
              <w:t xml:space="preserve">be </w:t>
            </w:r>
            <w:r w:rsidRPr="005E667F">
              <w:rPr>
                <w:rFonts w:asciiTheme="minorHAnsi" w:hAnsiTheme="minorHAnsi" w:cstheme="minorHAnsi"/>
              </w:rPr>
              <w:t>that the demand or supply that the optionality was intended to satisfy, if needed, never materialized, materialized at a level below that for which the parties contracted or changed due to physical factors or regulatory requirements outside the parties’ control</w:t>
            </w:r>
            <w:r w:rsidR="003C0303" w:rsidRPr="005E667F">
              <w:rPr>
                <w:rFonts w:asciiTheme="minorHAnsi" w:hAnsiTheme="minorHAnsi" w:cstheme="minorHAnsi"/>
              </w:rPr>
              <w:t xml:space="preserve"> e.g., colder than expected weath</w:t>
            </w:r>
            <w:r w:rsidR="0092768C" w:rsidRPr="005E667F">
              <w:rPr>
                <w:rFonts w:asciiTheme="minorHAnsi" w:hAnsiTheme="minorHAnsi" w:cstheme="minorHAnsi"/>
              </w:rPr>
              <w:t xml:space="preserve">er driving down energy demand. </w:t>
            </w:r>
            <w:r w:rsidRPr="005E667F">
              <w:rPr>
                <w:rFonts w:asciiTheme="minorHAnsi" w:hAnsiTheme="minorHAnsi" w:cstheme="minorHAnsi"/>
              </w:rPr>
              <w:t xml:space="preserve"> FN 341.</w:t>
            </w:r>
            <w:r w:rsidR="0092768C" w:rsidRPr="005E667F">
              <w:rPr>
                <w:rFonts w:asciiTheme="minorHAnsi" w:hAnsiTheme="minorHAnsi" w:cstheme="minorHAnsi"/>
              </w:rPr>
              <w:t xml:space="preserve"> PDR at 48238</w:t>
            </w:r>
            <w:r w:rsidR="003C0303" w:rsidRPr="005E667F">
              <w:rPr>
                <w:rFonts w:asciiTheme="minorHAnsi" w:hAnsiTheme="minorHAnsi" w:cstheme="minorHAnsi"/>
              </w:rPr>
              <w:t xml:space="preserve">. </w:t>
            </w:r>
          </w:p>
          <w:p w:rsidR="00DD394B" w:rsidRPr="005E667F" w:rsidRDefault="003C0303" w:rsidP="003C0303">
            <w:pPr>
              <w:pStyle w:val="RSBodyText"/>
              <w:rPr>
                <w:rFonts w:asciiTheme="minorHAnsi" w:hAnsiTheme="minorHAnsi" w:cstheme="minorHAnsi"/>
              </w:rPr>
            </w:pPr>
            <w:r w:rsidRPr="005E667F">
              <w:rPr>
                <w:rFonts w:asciiTheme="minorHAnsi" w:hAnsiTheme="minorHAnsi" w:cstheme="minorHAnsi"/>
              </w:rPr>
              <w:t xml:space="preserve">To the extent a business has a </w:t>
            </w:r>
            <w:r w:rsidRPr="005E667F">
              <w:rPr>
                <w:rFonts w:asciiTheme="minorHAnsi" w:hAnsiTheme="minorHAnsi" w:cstheme="minorHAnsi"/>
                <w:b/>
                <w:i/>
                <w:u w:val="single"/>
              </w:rPr>
              <w:t>business need</w:t>
            </w:r>
            <w:r w:rsidRPr="005E667F">
              <w:rPr>
                <w:rFonts w:asciiTheme="minorHAnsi" w:hAnsiTheme="minorHAnsi" w:cstheme="minorHAnsi"/>
              </w:rPr>
              <w:t xml:space="preserve"> to procure additional capacity resources beyond the regulatory </w:t>
            </w:r>
            <w:r w:rsidR="005E667F" w:rsidRPr="005E667F">
              <w:rPr>
                <w:rFonts w:asciiTheme="minorHAnsi" w:hAnsiTheme="minorHAnsi" w:cstheme="minorHAnsi"/>
              </w:rPr>
              <w:t>requirements;</w:t>
            </w:r>
            <w:r w:rsidRPr="005E667F">
              <w:rPr>
                <w:rFonts w:asciiTheme="minorHAnsi" w:hAnsiTheme="minorHAnsi" w:cstheme="minorHAnsi"/>
              </w:rPr>
              <w:t xml:space="preserve"> it may be covered under the interpretation if the additional capacity is required due to physical factors beyond the control of the parties (i.e., unscheduled outages)</w:t>
            </w:r>
            <w:r w:rsidR="0092768C" w:rsidRPr="005E667F">
              <w:rPr>
                <w:rFonts w:asciiTheme="minorHAnsi" w:hAnsiTheme="minorHAnsi" w:cstheme="minorHAnsi"/>
              </w:rPr>
              <w:t>.  FN 340. PDR at 48238</w:t>
            </w:r>
            <w:r w:rsidRPr="005E667F">
              <w:rPr>
                <w:rFonts w:asciiTheme="minorHAnsi" w:hAnsiTheme="minorHAnsi" w:cstheme="minorHAnsi"/>
              </w:rPr>
              <w:t xml:space="preserve">.  </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Examples</w:t>
            </w:r>
            <w:r w:rsidR="0006546C">
              <w:rPr>
                <w:rFonts w:asciiTheme="minorHAnsi" w:hAnsiTheme="minorHAnsi" w:cstheme="minorHAnsi"/>
                <w:b/>
              </w:rPr>
              <w:t xml:space="preserve"> of Contract Provisions and Analysis in PDR</w:t>
            </w:r>
          </w:p>
        </w:tc>
        <w:tc>
          <w:tcPr>
            <w:tcW w:w="7848" w:type="dxa"/>
          </w:tcPr>
          <w:p w:rsidR="00546E56" w:rsidRPr="005E667F" w:rsidRDefault="00546E56" w:rsidP="00546E56">
            <w:pPr>
              <w:pStyle w:val="RSBodyText"/>
              <w:rPr>
                <w:rFonts w:asciiTheme="minorHAnsi" w:hAnsiTheme="minorHAnsi" w:cstheme="minorHAnsi"/>
              </w:rPr>
            </w:pPr>
            <w:r w:rsidRPr="005E667F">
              <w:rPr>
                <w:rFonts w:asciiTheme="minorHAnsi" w:hAnsiTheme="minorHAnsi" w:cstheme="minorHAnsi"/>
              </w:rPr>
              <w:t>Gas supply curtailment due to a pipeline outage and power generation curtailment by an ISO for operatio</w:t>
            </w:r>
            <w:r>
              <w:rPr>
                <w:rFonts w:asciiTheme="minorHAnsi" w:hAnsiTheme="minorHAnsi" w:cstheme="minorHAnsi"/>
              </w:rPr>
              <w:t>nal reasons, w</w:t>
            </w:r>
            <w:r w:rsidRPr="005E667F">
              <w:rPr>
                <w:rFonts w:asciiTheme="minorHAnsi" w:hAnsiTheme="minorHAnsi" w:cstheme="minorHAnsi"/>
              </w:rPr>
              <w:t xml:space="preserve">hile volume curtailment is within control of power buyers based on a physical constraint.  FN 345. PDR at 48239. </w:t>
            </w:r>
          </w:p>
          <w:p w:rsidR="00EB182C" w:rsidRPr="005E667F" w:rsidRDefault="00546E56" w:rsidP="00EB182C">
            <w:pPr>
              <w:pStyle w:val="RSBodyText"/>
              <w:rPr>
                <w:rFonts w:asciiTheme="minorHAnsi" w:hAnsiTheme="minorHAnsi" w:cstheme="minorHAnsi"/>
              </w:rPr>
            </w:pPr>
            <w:r>
              <w:rPr>
                <w:rFonts w:asciiTheme="minorHAnsi" w:hAnsiTheme="minorHAnsi" w:cstheme="minorHAnsi"/>
              </w:rPr>
              <w:t>S</w:t>
            </w:r>
            <w:r w:rsidR="00156A59" w:rsidRPr="005E667F">
              <w:rPr>
                <w:rFonts w:asciiTheme="minorHAnsi" w:hAnsiTheme="minorHAnsi" w:cstheme="minorHAnsi"/>
              </w:rPr>
              <w:t xml:space="preserve">afe harbor </w:t>
            </w:r>
            <w:r w:rsidR="00156A59" w:rsidRPr="00546E56">
              <w:rPr>
                <w:rFonts w:asciiTheme="minorHAnsi" w:hAnsiTheme="minorHAnsi" w:cstheme="minorHAnsi"/>
                <w:u w:val="single"/>
              </w:rPr>
              <w:t>may</w:t>
            </w:r>
            <w:r w:rsidR="00156A59" w:rsidRPr="005E667F">
              <w:rPr>
                <w:rFonts w:asciiTheme="minorHAnsi" w:hAnsiTheme="minorHAnsi" w:cstheme="minorHAnsi"/>
              </w:rPr>
              <w:t xml:space="preserve"> apply to </w:t>
            </w:r>
            <w:r w:rsidR="00EB182C" w:rsidRPr="005E667F">
              <w:rPr>
                <w:rFonts w:asciiTheme="minorHAnsi" w:hAnsiTheme="minorHAnsi" w:cstheme="minorHAnsi"/>
              </w:rPr>
              <w:t>capacity contracts, transmission (or transportation) services agreements, tolling agreements an</w:t>
            </w:r>
            <w:r w:rsidR="00156A59" w:rsidRPr="005E667F">
              <w:rPr>
                <w:rFonts w:asciiTheme="minorHAnsi" w:hAnsiTheme="minorHAnsi" w:cstheme="minorHAnsi"/>
              </w:rPr>
              <w:t>d peaking supply contracts. I</w:t>
            </w:r>
            <w:r w:rsidR="00EB182C" w:rsidRPr="005E667F">
              <w:rPr>
                <w:rFonts w:asciiTheme="minorHAnsi" w:hAnsiTheme="minorHAnsi" w:cstheme="minorHAnsi"/>
              </w:rPr>
              <w:t xml:space="preserve">f these are not nonfinancial commodity forwards with </w:t>
            </w:r>
            <w:r w:rsidR="00156A59" w:rsidRPr="005E667F">
              <w:rPr>
                <w:rFonts w:asciiTheme="minorHAnsi" w:hAnsiTheme="minorHAnsi" w:cstheme="minorHAnsi"/>
              </w:rPr>
              <w:t xml:space="preserve">embedded </w:t>
            </w:r>
            <w:r w:rsidR="00EB182C" w:rsidRPr="005E667F">
              <w:rPr>
                <w:rFonts w:asciiTheme="minorHAnsi" w:hAnsiTheme="minorHAnsi" w:cstheme="minorHAnsi"/>
              </w:rPr>
              <w:t xml:space="preserve">volumetric optionality, they </w:t>
            </w:r>
            <w:r w:rsidR="00156A59" w:rsidRPr="00546E56">
              <w:rPr>
                <w:rFonts w:asciiTheme="minorHAnsi" w:hAnsiTheme="minorHAnsi" w:cstheme="minorHAnsi"/>
                <w:u w:val="single"/>
              </w:rPr>
              <w:t>may</w:t>
            </w:r>
            <w:r w:rsidR="00EB182C" w:rsidRPr="005E667F">
              <w:rPr>
                <w:rFonts w:asciiTheme="minorHAnsi" w:hAnsiTheme="minorHAnsi" w:cstheme="minorHAnsi"/>
              </w:rPr>
              <w:t xml:space="preserve"> fall within the forward exclusions from the swap definition. </w:t>
            </w:r>
            <w:r w:rsidR="00FF3B18" w:rsidRPr="005E667F">
              <w:rPr>
                <w:rFonts w:asciiTheme="minorHAnsi" w:hAnsiTheme="minorHAnsi" w:cstheme="minorHAnsi"/>
              </w:rPr>
              <w:t>PDR at 48240.</w:t>
            </w:r>
            <w:r w:rsidR="00156A59" w:rsidRPr="005E667F">
              <w:rPr>
                <w:rFonts w:asciiTheme="minorHAnsi" w:hAnsiTheme="minorHAnsi" w:cstheme="minorHAnsi"/>
              </w:rPr>
              <w:t xml:space="preserve"> Issue presented if references a specified facility </w:t>
            </w:r>
            <w:r w:rsidR="00156A59" w:rsidRPr="00546E56">
              <w:rPr>
                <w:rFonts w:asciiTheme="minorHAnsi" w:hAnsiTheme="minorHAnsi" w:cstheme="minorHAnsi"/>
                <w:u w:val="single"/>
              </w:rPr>
              <w:t>and</w:t>
            </w:r>
            <w:r w:rsidR="00156A59" w:rsidRPr="005E667F">
              <w:rPr>
                <w:rFonts w:asciiTheme="minorHAnsi" w:hAnsiTheme="minorHAnsi" w:cstheme="minorHAnsi"/>
              </w:rPr>
              <w:t xml:space="preserve"> contains two-tiered pricing. See Section </w:t>
            </w:r>
            <w:r w:rsidR="005251C1">
              <w:rPr>
                <w:rFonts w:asciiTheme="minorHAnsi" w:hAnsiTheme="minorHAnsi" w:cstheme="minorHAnsi"/>
              </w:rPr>
              <w:t>I</w:t>
            </w:r>
            <w:r w:rsidR="00156A59" w:rsidRPr="005E667F">
              <w:rPr>
                <w:rFonts w:asciiTheme="minorHAnsi" w:hAnsiTheme="minorHAnsi" w:cstheme="minorHAnsi"/>
              </w:rPr>
              <w:t xml:space="preserve"> hereof. </w:t>
            </w:r>
          </w:p>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 xml:space="preserve">Contracts with evergreen or extension terms </w:t>
            </w:r>
            <w:r w:rsidR="00B208D5" w:rsidRPr="005E667F">
              <w:rPr>
                <w:rFonts w:asciiTheme="minorHAnsi" w:hAnsiTheme="minorHAnsi" w:cstheme="minorHAnsi"/>
              </w:rPr>
              <w:t>(</w:t>
            </w:r>
            <w:r w:rsidRPr="005E667F">
              <w:rPr>
                <w:rFonts w:asciiTheme="minorHAnsi" w:hAnsiTheme="minorHAnsi" w:cstheme="minorHAnsi"/>
              </w:rPr>
              <w:t>in a commercial contract</w:t>
            </w:r>
            <w:r w:rsidR="00B208D5" w:rsidRPr="005E667F">
              <w:rPr>
                <w:rFonts w:asciiTheme="minorHAnsi" w:hAnsiTheme="minorHAnsi" w:cstheme="minorHAnsi"/>
              </w:rPr>
              <w:t>?)</w:t>
            </w:r>
            <w:r w:rsidRPr="005E667F">
              <w:rPr>
                <w:rFonts w:asciiTheme="minorHAnsi" w:hAnsiTheme="minorHAnsi" w:cstheme="minorHAnsi"/>
              </w:rPr>
              <w:t xml:space="preserve"> are not ineligible for the forward exclusions from the definition of swap.  Using extension or evergreen provisions to avoid delivery, as was the case with “rolling spot” contracts could </w:t>
            </w:r>
            <w:r w:rsidR="0006546C">
              <w:rPr>
                <w:rFonts w:asciiTheme="minorHAnsi" w:hAnsiTheme="minorHAnsi" w:cstheme="minorHAnsi"/>
              </w:rPr>
              <w:t xml:space="preserve">[per agricultural hedge-to-arrive or retail foreign exchange precedent from pre-DFA CEA] </w:t>
            </w:r>
            <w:r w:rsidRPr="005E667F">
              <w:rPr>
                <w:rFonts w:asciiTheme="minorHAnsi" w:hAnsiTheme="minorHAnsi" w:cstheme="minorHAnsi"/>
              </w:rPr>
              <w:t>constitute evasion or violate other provisions of the CEA.  FN 359.</w:t>
            </w:r>
            <w:r w:rsidR="00C35A49" w:rsidRPr="005E667F">
              <w:rPr>
                <w:rFonts w:asciiTheme="minorHAnsi" w:hAnsiTheme="minorHAnsi" w:cstheme="minorHAnsi"/>
              </w:rPr>
              <w:t xml:space="preserve"> PDR 48240.</w:t>
            </w:r>
          </w:p>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 xml:space="preserve">Embedded optionality as to delivery points and delivery dates will </w:t>
            </w:r>
            <w:r w:rsidRPr="005E667F">
              <w:rPr>
                <w:rFonts w:asciiTheme="minorHAnsi" w:hAnsiTheme="minorHAnsi" w:cstheme="minorHAnsi"/>
                <w:b/>
                <w:i/>
                <w:u w:val="single"/>
              </w:rPr>
              <w:t>not</w:t>
            </w:r>
            <w:r w:rsidRPr="005E667F">
              <w:rPr>
                <w:rFonts w:asciiTheme="minorHAnsi" w:hAnsiTheme="minorHAnsi" w:cstheme="minorHAnsi"/>
              </w:rPr>
              <w:t xml:space="preserve"> cause a transaction that otherwise qualifies as a forward contract to be considered a swap.</w:t>
            </w:r>
            <w:r w:rsidR="00001062" w:rsidRPr="005E667F">
              <w:rPr>
                <w:rFonts w:asciiTheme="minorHAnsi" w:hAnsiTheme="minorHAnsi" w:cstheme="minorHAnsi"/>
              </w:rPr>
              <w:t xml:space="preserve"> PDR at 48240</w:t>
            </w:r>
            <w:r w:rsidR="003C0303" w:rsidRPr="005E667F">
              <w:rPr>
                <w:rFonts w:asciiTheme="minorHAnsi" w:hAnsiTheme="minorHAnsi" w:cstheme="minorHAnsi"/>
              </w:rPr>
              <w:t xml:space="preserve">. </w:t>
            </w:r>
          </w:p>
          <w:p w:rsidR="00DD394B" w:rsidRPr="005E667F" w:rsidRDefault="00DD394B" w:rsidP="00EB182C">
            <w:pPr>
              <w:pStyle w:val="RSBodyText"/>
              <w:rPr>
                <w:rFonts w:asciiTheme="minorHAnsi" w:hAnsiTheme="minorHAnsi" w:cstheme="minorHAnsi"/>
              </w:rPr>
            </w:pPr>
          </w:p>
        </w:tc>
      </w:tr>
    </w:tbl>
    <w:p w:rsidR="00E90D30" w:rsidRPr="005E667F" w:rsidRDefault="00E90D30">
      <w:pPr>
        <w:rPr>
          <w:rFonts w:asciiTheme="minorHAnsi" w:hAnsiTheme="minorHAnsi" w:cstheme="minorHAnsi"/>
        </w:rPr>
      </w:pPr>
    </w:p>
    <w:p w:rsidR="00E90D30" w:rsidRPr="005E667F" w:rsidRDefault="00E90D30">
      <w:pPr>
        <w:rPr>
          <w:rFonts w:asciiTheme="minorHAnsi" w:hAnsiTheme="minorHAnsi" w:cstheme="minorHAnsi"/>
        </w:rPr>
      </w:pPr>
    </w:p>
    <w:p w:rsidR="00E90D30" w:rsidRPr="005E667F" w:rsidRDefault="00E90D30">
      <w:pPr>
        <w:rPr>
          <w:rFonts w:asciiTheme="minorHAnsi" w:hAnsiTheme="minorHAnsi" w:cstheme="minorHAnsi"/>
        </w:rPr>
      </w:pPr>
    </w:p>
    <w:tbl>
      <w:tblPr>
        <w:tblStyle w:val="TableGrid"/>
        <w:tblpPr w:leftFromText="180" w:rightFromText="180" w:vertAnchor="page" w:horzAnchor="margin" w:tblpY="2146"/>
        <w:tblW w:w="0" w:type="auto"/>
        <w:tblLook w:val="04A0" w:firstRow="1" w:lastRow="0" w:firstColumn="1" w:lastColumn="0" w:noHBand="0" w:noVBand="1"/>
      </w:tblPr>
      <w:tblGrid>
        <w:gridCol w:w="1728"/>
        <w:gridCol w:w="7848"/>
      </w:tblGrid>
      <w:tr w:rsidR="00806156" w:rsidRPr="005E667F" w:rsidTr="00806156">
        <w:tc>
          <w:tcPr>
            <w:tcW w:w="1728" w:type="dxa"/>
            <w:shd w:val="pct12" w:color="auto" w:fill="auto"/>
          </w:tcPr>
          <w:p w:rsidR="00806156" w:rsidRPr="005E667F" w:rsidRDefault="00806156" w:rsidP="00806156">
            <w:pPr>
              <w:pStyle w:val="RSBodyText"/>
              <w:rPr>
                <w:rFonts w:asciiTheme="minorHAnsi" w:hAnsiTheme="minorHAnsi" w:cstheme="minorHAnsi"/>
                <w:b/>
              </w:rPr>
            </w:pPr>
            <w:r w:rsidRPr="005E667F">
              <w:rPr>
                <w:rFonts w:asciiTheme="minorHAnsi" w:hAnsiTheme="minorHAnsi" w:cstheme="minorHAnsi"/>
                <w:b/>
              </w:rPr>
              <w:t>Generally</w:t>
            </w:r>
          </w:p>
        </w:tc>
        <w:tc>
          <w:tcPr>
            <w:tcW w:w="7848" w:type="dxa"/>
          </w:tcPr>
          <w:p w:rsidR="00806156" w:rsidRPr="005E667F" w:rsidRDefault="00806156" w:rsidP="00684330">
            <w:pPr>
              <w:pStyle w:val="RSBulletedList"/>
              <w:numPr>
                <w:ilvl w:val="0"/>
                <w:numId w:val="0"/>
              </w:numPr>
              <w:spacing w:after="240"/>
              <w:rPr>
                <w:rFonts w:asciiTheme="minorHAnsi" w:hAnsiTheme="minorHAnsi" w:cstheme="minorHAnsi"/>
              </w:rPr>
            </w:pPr>
            <w:r w:rsidRPr="005E667F">
              <w:rPr>
                <w:rFonts w:asciiTheme="minorHAnsi" w:hAnsiTheme="minorHAnsi" w:cstheme="minorHAnsi"/>
              </w:rPr>
              <w:t>Full requirements contracts or output of the unit or system</w:t>
            </w:r>
            <w:r w:rsidR="00684330">
              <w:rPr>
                <w:rFonts w:asciiTheme="minorHAnsi" w:hAnsiTheme="minorHAnsi" w:cstheme="minorHAnsi"/>
              </w:rPr>
              <w:t xml:space="preserve"> contracts qualify</w:t>
            </w:r>
            <w:r w:rsidR="00B65AAA">
              <w:rPr>
                <w:rFonts w:asciiTheme="minorHAnsi" w:hAnsiTheme="minorHAnsi" w:cstheme="minorHAnsi"/>
              </w:rPr>
              <w:t xml:space="preserve"> as an excluded forward contract (not a “swap”)</w:t>
            </w:r>
            <w:r w:rsidR="00684330">
              <w:rPr>
                <w:rFonts w:asciiTheme="minorHAnsi" w:hAnsiTheme="minorHAnsi" w:cstheme="minorHAnsi"/>
              </w:rPr>
              <w:t xml:space="preserve"> because the PDR</w:t>
            </w:r>
            <w:r w:rsidRPr="005E667F">
              <w:rPr>
                <w:rFonts w:asciiTheme="minorHAnsi" w:hAnsiTheme="minorHAnsi" w:cstheme="minorHAnsi"/>
              </w:rPr>
              <w:t xml:space="preserve"> notes that these contracts do </w:t>
            </w:r>
            <w:r w:rsidRPr="00B65AAA">
              <w:rPr>
                <w:rFonts w:asciiTheme="minorHAnsi" w:hAnsiTheme="minorHAnsi" w:cstheme="minorHAnsi"/>
                <w:u w:val="single"/>
              </w:rPr>
              <w:t>not</w:t>
            </w:r>
            <w:r w:rsidRPr="005E667F">
              <w:rPr>
                <w:rFonts w:asciiTheme="minorHAnsi" w:hAnsiTheme="minorHAnsi" w:cstheme="minorHAnsi"/>
              </w:rPr>
              <w:t xml:space="preserve"> have embedded volumetric optionality. See PDR at 48239-48240.</w:t>
            </w:r>
          </w:p>
        </w:tc>
      </w:tr>
      <w:tr w:rsidR="00806156" w:rsidRPr="005E667F" w:rsidTr="00806156">
        <w:tc>
          <w:tcPr>
            <w:tcW w:w="1728" w:type="dxa"/>
            <w:shd w:val="pct12" w:color="auto" w:fill="auto"/>
          </w:tcPr>
          <w:p w:rsidR="00806156" w:rsidRPr="005E667F" w:rsidRDefault="00806156" w:rsidP="00806156">
            <w:pPr>
              <w:pStyle w:val="RSBodyText"/>
              <w:rPr>
                <w:rFonts w:asciiTheme="minorHAnsi" w:hAnsiTheme="minorHAnsi" w:cstheme="minorHAnsi"/>
                <w:b/>
              </w:rPr>
            </w:pPr>
            <w:r w:rsidRPr="005E667F">
              <w:rPr>
                <w:rFonts w:asciiTheme="minorHAnsi" w:hAnsiTheme="minorHAnsi" w:cstheme="minorHAnsi"/>
                <w:b/>
              </w:rPr>
              <w:t>Key Definition</w:t>
            </w:r>
          </w:p>
        </w:tc>
        <w:tc>
          <w:tcPr>
            <w:tcW w:w="7848" w:type="dxa"/>
          </w:tcPr>
          <w:p w:rsidR="00806156" w:rsidRPr="005E667F" w:rsidRDefault="00806156" w:rsidP="00806156">
            <w:pPr>
              <w:pStyle w:val="RSBulletedList"/>
              <w:numPr>
                <w:ilvl w:val="0"/>
                <w:numId w:val="0"/>
              </w:numPr>
              <w:spacing w:after="240"/>
              <w:jc w:val="both"/>
              <w:rPr>
                <w:rFonts w:asciiTheme="minorHAnsi" w:hAnsiTheme="minorHAnsi" w:cstheme="minorHAnsi"/>
              </w:rPr>
            </w:pPr>
            <w:r w:rsidRPr="005E667F">
              <w:rPr>
                <w:rFonts w:asciiTheme="minorHAnsi" w:hAnsiTheme="minorHAnsi" w:cstheme="minorHAnsi"/>
              </w:rPr>
              <w:t>A contract where the seller agrees to provide all requirements for a specific customer’s location or delivery point; the purchaser deals excl</w:t>
            </w:r>
            <w:r w:rsidR="00B65AAA">
              <w:rPr>
                <w:rFonts w:asciiTheme="minorHAnsi" w:hAnsiTheme="minorHAnsi" w:cstheme="minorHAnsi"/>
              </w:rPr>
              <w:t>usively with one supplier, the s</w:t>
            </w:r>
            <w:r w:rsidRPr="005E667F">
              <w:rPr>
                <w:rFonts w:asciiTheme="minorHAnsi" w:hAnsiTheme="minorHAnsi" w:cstheme="minorHAnsi"/>
              </w:rPr>
              <w:t xml:space="preserve">eller; there is an obligation </w:t>
            </w:r>
            <w:r w:rsidR="00B65AAA">
              <w:rPr>
                <w:rFonts w:asciiTheme="minorHAnsi" w:hAnsiTheme="minorHAnsi" w:cstheme="minorHAnsi"/>
              </w:rPr>
              <w:t xml:space="preserve">under the UCC </w:t>
            </w:r>
            <w:r w:rsidRPr="005E667F">
              <w:rPr>
                <w:rFonts w:asciiTheme="minorHAnsi" w:hAnsiTheme="minorHAnsi" w:cstheme="minorHAnsi"/>
              </w:rPr>
              <w:t>for the purchaser to act in good faith with respect to</w:t>
            </w:r>
            <w:r w:rsidR="00546E56">
              <w:rPr>
                <w:rFonts w:asciiTheme="minorHAnsi" w:hAnsiTheme="minorHAnsi" w:cstheme="minorHAnsi"/>
              </w:rPr>
              <w:t xml:space="preserve"> securing from the single supplier</w:t>
            </w:r>
            <w:r w:rsidRPr="005E667F">
              <w:rPr>
                <w:rFonts w:asciiTheme="minorHAnsi" w:hAnsiTheme="minorHAnsi" w:cstheme="minorHAnsi"/>
              </w:rPr>
              <w:t xml:space="preserve"> the varying amount that is called for delivery.  See PDR at 48239-48240.</w:t>
            </w:r>
          </w:p>
          <w:p w:rsidR="00806156" w:rsidRPr="005E667F" w:rsidRDefault="00806156" w:rsidP="00806156">
            <w:pPr>
              <w:pStyle w:val="RSBulletedList"/>
              <w:numPr>
                <w:ilvl w:val="0"/>
                <w:numId w:val="0"/>
              </w:numPr>
              <w:spacing w:after="240"/>
              <w:jc w:val="both"/>
              <w:rPr>
                <w:rFonts w:asciiTheme="minorHAnsi" w:hAnsiTheme="minorHAnsi" w:cstheme="minorHAnsi"/>
              </w:rPr>
            </w:pPr>
          </w:p>
        </w:tc>
      </w:tr>
      <w:tr w:rsidR="00806156" w:rsidRPr="005E667F" w:rsidTr="00806156">
        <w:tc>
          <w:tcPr>
            <w:tcW w:w="1728" w:type="dxa"/>
            <w:shd w:val="pct12" w:color="auto" w:fill="auto"/>
          </w:tcPr>
          <w:p w:rsidR="00806156" w:rsidRPr="005E667F" w:rsidRDefault="00806156" w:rsidP="00806156">
            <w:pPr>
              <w:pStyle w:val="RSBodyText"/>
              <w:rPr>
                <w:rFonts w:asciiTheme="minorHAnsi" w:hAnsiTheme="minorHAnsi" w:cstheme="minorHAnsi"/>
                <w:b/>
              </w:rPr>
            </w:pPr>
            <w:r w:rsidRPr="005E667F">
              <w:rPr>
                <w:rFonts w:asciiTheme="minorHAnsi" w:hAnsiTheme="minorHAnsi" w:cstheme="minorHAnsi"/>
                <w:b/>
              </w:rPr>
              <w:t>Acceptable Parties</w:t>
            </w:r>
          </w:p>
        </w:tc>
        <w:tc>
          <w:tcPr>
            <w:tcW w:w="7848" w:type="dxa"/>
          </w:tcPr>
          <w:p w:rsidR="00806156" w:rsidRPr="005E667F" w:rsidRDefault="00806156" w:rsidP="00806156">
            <w:pPr>
              <w:pStyle w:val="RSBulletedList"/>
              <w:numPr>
                <w:ilvl w:val="0"/>
                <w:numId w:val="0"/>
              </w:numPr>
              <w:spacing w:after="240"/>
              <w:rPr>
                <w:rFonts w:asciiTheme="minorHAnsi" w:hAnsiTheme="minorHAnsi" w:cstheme="minorHAnsi"/>
              </w:rPr>
            </w:pPr>
            <w:r w:rsidRPr="005E667F">
              <w:rPr>
                <w:rFonts w:asciiTheme="minorHAnsi" w:hAnsiTheme="minorHAnsi" w:cstheme="minorHAnsi"/>
              </w:rPr>
              <w:t>The purchaser must deal exclusively with one supplier. See PDR at 48239-48240.</w:t>
            </w:r>
          </w:p>
        </w:tc>
      </w:tr>
      <w:tr w:rsidR="00806156" w:rsidRPr="005E667F" w:rsidTr="00806156">
        <w:tc>
          <w:tcPr>
            <w:tcW w:w="1728" w:type="dxa"/>
            <w:shd w:val="pct12" w:color="auto" w:fill="auto"/>
          </w:tcPr>
          <w:p w:rsidR="00806156" w:rsidRPr="005E667F" w:rsidRDefault="00806156" w:rsidP="00806156">
            <w:pPr>
              <w:pStyle w:val="RSBodyText"/>
              <w:rPr>
                <w:rFonts w:asciiTheme="minorHAnsi" w:hAnsiTheme="minorHAnsi" w:cstheme="minorHAnsi"/>
                <w:b/>
              </w:rPr>
            </w:pPr>
            <w:r w:rsidRPr="005E667F">
              <w:rPr>
                <w:rFonts w:asciiTheme="minorHAnsi" w:hAnsiTheme="minorHAnsi" w:cstheme="minorHAnsi"/>
                <w:b/>
              </w:rPr>
              <w:t>Acceptable Contract Provisions</w:t>
            </w:r>
          </w:p>
        </w:tc>
        <w:tc>
          <w:tcPr>
            <w:tcW w:w="7848" w:type="dxa"/>
          </w:tcPr>
          <w:p w:rsidR="00806156" w:rsidRPr="005E667F" w:rsidRDefault="00806156" w:rsidP="00546E56">
            <w:pPr>
              <w:pStyle w:val="RSBulletedList"/>
              <w:numPr>
                <w:ilvl w:val="0"/>
                <w:numId w:val="0"/>
              </w:numPr>
              <w:spacing w:after="240"/>
              <w:jc w:val="both"/>
              <w:rPr>
                <w:rFonts w:asciiTheme="minorHAnsi" w:hAnsiTheme="minorHAnsi" w:cstheme="minorHAnsi"/>
              </w:rPr>
            </w:pPr>
            <w:r w:rsidRPr="005E667F">
              <w:rPr>
                <w:rFonts w:asciiTheme="minorHAnsi" w:hAnsiTheme="minorHAnsi" w:cstheme="minorHAnsi"/>
              </w:rPr>
              <w:t>Any instance where nominal or zero delivery occur</w:t>
            </w:r>
            <w:r w:rsidR="00546E56">
              <w:rPr>
                <w:rFonts w:asciiTheme="minorHAnsi" w:hAnsiTheme="minorHAnsi" w:cstheme="minorHAnsi"/>
              </w:rPr>
              <w:t>s</w:t>
            </w:r>
            <w:r w:rsidRPr="005E667F">
              <w:rPr>
                <w:rFonts w:asciiTheme="minorHAnsi" w:hAnsiTheme="minorHAnsi" w:cstheme="minorHAnsi"/>
              </w:rPr>
              <w:t xml:space="preserve"> would have to be because the commercial requirements changed or did not materialize. Any variability in delivery amounts under the contract </w:t>
            </w:r>
            <w:r w:rsidR="005E667F" w:rsidRPr="005E667F">
              <w:rPr>
                <w:rFonts w:asciiTheme="minorHAnsi" w:hAnsiTheme="minorHAnsi" w:cstheme="minorHAnsi"/>
              </w:rPr>
              <w:t xml:space="preserve">is </w:t>
            </w:r>
            <w:r w:rsidRPr="005E667F">
              <w:rPr>
                <w:rFonts w:asciiTheme="minorHAnsi" w:hAnsiTheme="minorHAnsi" w:cstheme="minorHAnsi"/>
              </w:rPr>
              <w:t xml:space="preserve">driven directly by the buyer’s commercial requirements and is not dependent upon the exercise of any commodity option by the contracting parties. </w:t>
            </w:r>
            <w:r w:rsidR="00B65AAA">
              <w:rPr>
                <w:rFonts w:asciiTheme="minorHAnsi" w:hAnsiTheme="minorHAnsi" w:cstheme="minorHAnsi"/>
              </w:rPr>
              <w:t xml:space="preserve">This is the case even if the recipient owns generation and the “full” requirements is full in excess of owned generation. </w:t>
            </w:r>
            <w:r w:rsidRPr="005E667F">
              <w:rPr>
                <w:rFonts w:asciiTheme="minorHAnsi" w:hAnsiTheme="minorHAnsi" w:cstheme="minorHAnsi"/>
              </w:rPr>
              <w:t>See PDR at 48239-48240.</w:t>
            </w:r>
          </w:p>
        </w:tc>
      </w:tr>
    </w:tbl>
    <w:p w:rsidR="00DD394B" w:rsidRPr="005E667F" w:rsidRDefault="00E90D30" w:rsidP="0006546C">
      <w:pPr>
        <w:pStyle w:val="Heading1"/>
      </w:pPr>
      <w:r w:rsidRPr="0006546C">
        <w:rPr>
          <w:b/>
        </w:rPr>
        <w:t xml:space="preserve"> </w:t>
      </w:r>
      <w:r w:rsidR="0006546C">
        <w:rPr>
          <w:b/>
        </w:rPr>
        <w:t>Full Requirement</w:t>
      </w:r>
      <w:r w:rsidR="00806156" w:rsidRPr="0006546C">
        <w:rPr>
          <w:b/>
        </w:rPr>
        <w:t xml:space="preserve"> Contracts</w:t>
      </w:r>
      <w:r w:rsidR="0006546C">
        <w:rPr>
          <w:rStyle w:val="FootnoteReference"/>
          <w:b/>
        </w:rPr>
        <w:footnoteReference w:id="9"/>
      </w:r>
      <w:r w:rsidR="00806156" w:rsidRPr="005E667F">
        <w:t xml:space="preserve">: </w:t>
      </w:r>
      <w:r w:rsidR="00DD394B" w:rsidRPr="005E667F">
        <w:br w:type="page"/>
      </w:r>
    </w:p>
    <w:p w:rsidR="002A7D5B" w:rsidRPr="005E667F" w:rsidRDefault="002A7D5B" w:rsidP="008D3C55">
      <w:pPr>
        <w:pStyle w:val="Heading1"/>
        <w:rPr>
          <w:rFonts w:asciiTheme="minorHAnsi" w:hAnsiTheme="minorHAnsi" w:cstheme="minorHAnsi"/>
          <w:szCs w:val="24"/>
        </w:rPr>
      </w:pPr>
      <w:r w:rsidRPr="00B65AAA">
        <w:rPr>
          <w:rFonts w:asciiTheme="minorHAnsi" w:hAnsiTheme="minorHAnsi" w:cstheme="minorHAnsi"/>
          <w:b/>
          <w:szCs w:val="24"/>
        </w:rPr>
        <w:t>Customary Commercial Agreements, Contracts or Transactions, Entered Into As Part of Operations</w:t>
      </w:r>
      <w:r w:rsidRPr="005E667F">
        <w:rPr>
          <w:rStyle w:val="FootnoteReference"/>
          <w:rFonts w:asciiTheme="minorHAnsi" w:hAnsiTheme="minorHAnsi" w:cstheme="minorHAnsi"/>
          <w:szCs w:val="24"/>
        </w:rPr>
        <w:footnoteReference w:id="10"/>
      </w:r>
    </w:p>
    <w:tbl>
      <w:tblPr>
        <w:tblStyle w:val="TableGrid"/>
        <w:tblW w:w="0" w:type="auto"/>
        <w:tblLook w:val="04A0" w:firstRow="1" w:lastRow="0" w:firstColumn="1" w:lastColumn="0" w:noHBand="0" w:noVBand="1"/>
      </w:tblPr>
      <w:tblGrid>
        <w:gridCol w:w="1728"/>
        <w:gridCol w:w="7848"/>
      </w:tblGrid>
      <w:tr w:rsidR="002A7D5B" w:rsidRPr="005E667F" w:rsidTr="00FA1926">
        <w:tc>
          <w:tcPr>
            <w:tcW w:w="1728" w:type="dxa"/>
            <w:shd w:val="pct12" w:color="auto" w:fill="auto"/>
          </w:tcPr>
          <w:p w:rsidR="002A7D5B" w:rsidRPr="005E667F" w:rsidRDefault="002A7D5B" w:rsidP="00FA1926">
            <w:pPr>
              <w:pStyle w:val="RSBodyText"/>
              <w:rPr>
                <w:rFonts w:asciiTheme="minorHAnsi" w:hAnsiTheme="minorHAnsi" w:cstheme="minorHAnsi"/>
                <w:b/>
              </w:rPr>
            </w:pPr>
            <w:r w:rsidRPr="005E667F">
              <w:rPr>
                <w:rFonts w:asciiTheme="minorHAnsi" w:hAnsiTheme="minorHAnsi" w:cstheme="minorHAnsi"/>
                <w:b/>
              </w:rPr>
              <w:t>Key Definition</w:t>
            </w:r>
          </w:p>
        </w:tc>
        <w:tc>
          <w:tcPr>
            <w:tcW w:w="7848" w:type="dxa"/>
          </w:tcPr>
          <w:p w:rsidR="002A7D5B" w:rsidRPr="005E667F" w:rsidRDefault="002A7D5B" w:rsidP="00FA1926">
            <w:pPr>
              <w:pStyle w:val="RSBodyText"/>
              <w:rPr>
                <w:rFonts w:asciiTheme="minorHAnsi" w:hAnsiTheme="minorHAnsi" w:cstheme="minorHAnsi"/>
              </w:rPr>
            </w:pPr>
            <w:r w:rsidRPr="005E667F">
              <w:rPr>
                <w:rFonts w:asciiTheme="minorHAnsi" w:hAnsiTheme="minorHAnsi" w:cstheme="minorHAnsi"/>
              </w:rPr>
              <w:t>The term “commercial” is not defined in this safe harbor.</w:t>
            </w:r>
            <w:r w:rsidRPr="005E667F">
              <w:rPr>
                <w:rStyle w:val="FootnoteReference"/>
                <w:rFonts w:asciiTheme="minorHAnsi" w:hAnsiTheme="minorHAnsi" w:cstheme="minorHAnsi"/>
              </w:rPr>
              <w:footnoteReference w:id="11"/>
            </w:r>
            <w:r w:rsidRPr="005E667F">
              <w:rPr>
                <w:rFonts w:asciiTheme="minorHAnsi" w:hAnsiTheme="minorHAnsi" w:cstheme="minorHAnsi"/>
              </w:rPr>
              <w:t xml:space="preserve"> However, the additional phrase “as pa</w:t>
            </w:r>
            <w:r w:rsidR="00B65AAA">
              <w:rPr>
                <w:rFonts w:asciiTheme="minorHAnsi" w:hAnsiTheme="minorHAnsi" w:cstheme="minorHAnsi"/>
              </w:rPr>
              <w:t>rt of operations” seems to distinguish these operations-related contracts from other contracts entered into</w:t>
            </w:r>
            <w:r w:rsidR="005906C6">
              <w:rPr>
                <w:rFonts w:asciiTheme="minorHAnsi" w:hAnsiTheme="minorHAnsi" w:cstheme="minorHAnsi"/>
              </w:rPr>
              <w:t xml:space="preserve"> </w:t>
            </w:r>
            <w:r w:rsidRPr="005E667F">
              <w:rPr>
                <w:rFonts w:asciiTheme="minorHAnsi" w:hAnsiTheme="minorHAnsi" w:cstheme="minorHAnsi"/>
              </w:rPr>
              <w:t>as part of financing or investment act</w:t>
            </w:r>
            <w:r w:rsidR="005906C6">
              <w:rPr>
                <w:rFonts w:asciiTheme="minorHAnsi" w:hAnsiTheme="minorHAnsi" w:cstheme="minorHAnsi"/>
              </w:rPr>
              <w:t>ivities.</w:t>
            </w:r>
            <w:r w:rsidR="00B65AAA">
              <w:rPr>
                <w:rFonts w:asciiTheme="minorHAnsi" w:hAnsiTheme="minorHAnsi" w:cstheme="minorHAnsi"/>
              </w:rPr>
              <w:t xml:space="preserve"> </w:t>
            </w:r>
          </w:p>
        </w:tc>
      </w:tr>
      <w:tr w:rsidR="002A7D5B" w:rsidRPr="005E667F" w:rsidTr="00FA1926">
        <w:tc>
          <w:tcPr>
            <w:tcW w:w="1728" w:type="dxa"/>
            <w:shd w:val="pct12" w:color="auto" w:fill="auto"/>
          </w:tcPr>
          <w:p w:rsidR="002A7D5B" w:rsidRPr="005E667F" w:rsidRDefault="002A7D5B" w:rsidP="00FA1926">
            <w:pPr>
              <w:pStyle w:val="RSBodyText"/>
              <w:rPr>
                <w:rFonts w:asciiTheme="minorHAnsi" w:hAnsiTheme="minorHAnsi" w:cstheme="minorHAnsi"/>
                <w:b/>
              </w:rPr>
            </w:pPr>
            <w:r w:rsidRPr="005E667F">
              <w:rPr>
                <w:rFonts w:asciiTheme="minorHAnsi" w:hAnsiTheme="minorHAnsi" w:cstheme="minorHAnsi"/>
                <w:b/>
              </w:rPr>
              <w:t>Acceptable Parties</w:t>
            </w:r>
          </w:p>
        </w:tc>
        <w:tc>
          <w:tcPr>
            <w:tcW w:w="7848" w:type="dxa"/>
          </w:tcPr>
          <w:p w:rsidR="002A7D5B" w:rsidRPr="005E667F" w:rsidRDefault="002A7D5B" w:rsidP="00FA1926">
            <w:pPr>
              <w:pStyle w:val="RSBodyText"/>
              <w:rPr>
                <w:rFonts w:asciiTheme="minorHAnsi" w:hAnsiTheme="minorHAnsi" w:cstheme="minorHAnsi"/>
              </w:rPr>
            </w:pPr>
            <w:r w:rsidRPr="005E667F">
              <w:rPr>
                <w:rFonts w:asciiTheme="minorHAnsi" w:hAnsiTheme="minorHAnsi" w:cstheme="minorHAnsi"/>
              </w:rPr>
              <w:t xml:space="preserve">Commercial or non-profit entities as principals (or by agents). PDR at 48247. </w:t>
            </w:r>
          </w:p>
        </w:tc>
      </w:tr>
      <w:tr w:rsidR="002A7D5B" w:rsidRPr="005E667F" w:rsidTr="00FA1926">
        <w:tc>
          <w:tcPr>
            <w:tcW w:w="1728" w:type="dxa"/>
            <w:shd w:val="pct12" w:color="auto" w:fill="auto"/>
          </w:tcPr>
          <w:p w:rsidR="002A7D5B" w:rsidRPr="005E667F" w:rsidRDefault="002A7D5B" w:rsidP="00FA1926">
            <w:pPr>
              <w:pStyle w:val="RSBodyText"/>
              <w:rPr>
                <w:rFonts w:asciiTheme="minorHAnsi" w:hAnsiTheme="minorHAnsi" w:cstheme="minorHAnsi"/>
                <w:b/>
              </w:rPr>
            </w:pPr>
            <w:r w:rsidRPr="005E667F">
              <w:rPr>
                <w:rFonts w:asciiTheme="minorHAnsi" w:hAnsiTheme="minorHAnsi" w:cstheme="minorHAnsi"/>
                <w:b/>
              </w:rPr>
              <w:t>Acceptable Contract Provisions</w:t>
            </w:r>
          </w:p>
        </w:tc>
        <w:tc>
          <w:tcPr>
            <w:tcW w:w="7848" w:type="dxa"/>
          </w:tcPr>
          <w:p w:rsidR="002A7D5B" w:rsidRDefault="002A7D5B" w:rsidP="00FA1926">
            <w:pPr>
              <w:pStyle w:val="RSBodyText"/>
              <w:rPr>
                <w:rFonts w:asciiTheme="minorHAnsi" w:hAnsiTheme="minorHAnsi" w:cstheme="minorHAnsi"/>
              </w:rPr>
            </w:pPr>
            <w:r w:rsidRPr="005E667F">
              <w:rPr>
                <w:rFonts w:asciiTheme="minorHAnsi" w:hAnsiTheme="minorHAnsi" w:cstheme="minorHAnsi"/>
              </w:rPr>
              <w:t xml:space="preserve">Escalation clauses linked to an underlying “commodity” such as an interest rate or CPI. PDR at 48247. </w:t>
            </w:r>
          </w:p>
          <w:p w:rsidR="00B65AAA" w:rsidRPr="005E667F" w:rsidRDefault="00B65AAA" w:rsidP="00FA1926">
            <w:pPr>
              <w:pStyle w:val="RSBodyText"/>
              <w:rPr>
                <w:rFonts w:asciiTheme="minorHAnsi" w:hAnsiTheme="minorHAnsi" w:cstheme="minorHAnsi"/>
              </w:rPr>
            </w:pPr>
            <w:r w:rsidRPr="005E667F">
              <w:rPr>
                <w:rFonts w:asciiTheme="minorHAnsi" w:hAnsiTheme="minorHAnsi" w:cstheme="minorHAnsi"/>
              </w:rPr>
              <w:t>Assignment provision alone does not mean that it is “traded.”  PDR at 48248.</w:t>
            </w:r>
            <w:r>
              <w:rPr>
                <w:rFonts w:asciiTheme="minorHAnsi" w:hAnsiTheme="minorHAnsi" w:cstheme="minorHAnsi"/>
              </w:rPr>
              <w:t xml:space="preserve"> (See below)</w:t>
            </w:r>
          </w:p>
        </w:tc>
      </w:tr>
      <w:tr w:rsidR="002A7D5B" w:rsidRPr="005E667F" w:rsidTr="00FA1926">
        <w:tc>
          <w:tcPr>
            <w:tcW w:w="1728" w:type="dxa"/>
            <w:shd w:val="pct12" w:color="auto" w:fill="auto"/>
          </w:tcPr>
          <w:p w:rsidR="002A7D5B" w:rsidRPr="005E667F" w:rsidRDefault="002A7D5B" w:rsidP="00FA1926">
            <w:pPr>
              <w:pStyle w:val="RSBodyText"/>
              <w:rPr>
                <w:rFonts w:asciiTheme="minorHAnsi" w:hAnsiTheme="minorHAnsi" w:cstheme="minorHAnsi"/>
                <w:b/>
              </w:rPr>
            </w:pPr>
            <w:r w:rsidRPr="005E667F">
              <w:rPr>
                <w:rFonts w:asciiTheme="minorHAnsi" w:hAnsiTheme="minorHAnsi" w:cstheme="minorHAnsi"/>
                <w:b/>
              </w:rPr>
              <w:t>Unacceptable Contract Provisions</w:t>
            </w:r>
          </w:p>
        </w:tc>
        <w:tc>
          <w:tcPr>
            <w:tcW w:w="7848" w:type="dxa"/>
          </w:tcPr>
          <w:p w:rsidR="00B65AAA" w:rsidRDefault="002A7D5B" w:rsidP="00FA1926">
            <w:pPr>
              <w:pStyle w:val="RSBodyText"/>
              <w:rPr>
                <w:rFonts w:asciiTheme="minorHAnsi" w:hAnsiTheme="minorHAnsi" w:cstheme="minorHAnsi"/>
              </w:rPr>
            </w:pPr>
            <w:r w:rsidRPr="005E667F">
              <w:rPr>
                <w:rFonts w:asciiTheme="minorHAnsi" w:hAnsiTheme="minorHAnsi" w:cstheme="minorHAnsi"/>
              </w:rPr>
              <w:t xml:space="preserve">Payment obligations that are severable from the agreement, contract or transaction.  PDR at 48250. </w:t>
            </w:r>
          </w:p>
          <w:p w:rsidR="00B65AAA" w:rsidRPr="005E667F" w:rsidRDefault="00B65AAA" w:rsidP="00FA1926">
            <w:pPr>
              <w:pStyle w:val="RSBodyText"/>
              <w:rPr>
                <w:rFonts w:asciiTheme="minorHAnsi" w:hAnsiTheme="minorHAnsi" w:cstheme="minorHAnsi"/>
              </w:rPr>
            </w:pPr>
            <w:r w:rsidRPr="005E667F">
              <w:rPr>
                <w:rFonts w:asciiTheme="minorHAnsi" w:hAnsiTheme="minorHAnsi" w:cstheme="minorHAnsi"/>
              </w:rPr>
              <w:t>Agreement, contract or transaction is traded on an organized market or over-the-counter. PDR at 482</w:t>
            </w:r>
            <w:r>
              <w:rPr>
                <w:rFonts w:asciiTheme="minorHAnsi" w:hAnsiTheme="minorHAnsi" w:cstheme="minorHAnsi"/>
              </w:rPr>
              <w:t>4</w:t>
            </w:r>
            <w:r w:rsidRPr="005E667F">
              <w:rPr>
                <w:rFonts w:asciiTheme="minorHAnsi" w:hAnsiTheme="minorHAnsi" w:cstheme="minorHAnsi"/>
              </w:rPr>
              <w:t>7-48248.</w:t>
            </w:r>
            <w:r>
              <w:rPr>
                <w:rFonts w:asciiTheme="minorHAnsi" w:hAnsiTheme="minorHAnsi" w:cstheme="minorHAnsi"/>
              </w:rPr>
              <w:t xml:space="preserve"> No context</w:t>
            </w:r>
            <w:r w:rsidR="005906C6">
              <w:rPr>
                <w:rFonts w:asciiTheme="minorHAnsi" w:hAnsiTheme="minorHAnsi" w:cstheme="minorHAnsi"/>
              </w:rPr>
              <w:t xml:space="preserve"> is</w:t>
            </w:r>
            <w:r>
              <w:rPr>
                <w:rFonts w:asciiTheme="minorHAnsi" w:hAnsiTheme="minorHAnsi" w:cstheme="minorHAnsi"/>
              </w:rPr>
              <w:t xml:space="preserve"> provided for</w:t>
            </w:r>
            <w:r w:rsidR="005906C6">
              <w:rPr>
                <w:rFonts w:asciiTheme="minorHAnsi" w:hAnsiTheme="minorHAnsi" w:cstheme="minorHAnsi"/>
              </w:rPr>
              <w:t xml:space="preserve"> the term</w:t>
            </w:r>
            <w:r>
              <w:rPr>
                <w:rFonts w:asciiTheme="minorHAnsi" w:hAnsiTheme="minorHAnsi" w:cstheme="minorHAnsi"/>
              </w:rPr>
              <w:t xml:space="preserve"> </w:t>
            </w:r>
            <w:r w:rsidRPr="005E667F">
              <w:rPr>
                <w:rFonts w:asciiTheme="minorHAnsi" w:hAnsiTheme="minorHAnsi" w:cstheme="minorHAnsi"/>
              </w:rPr>
              <w:t>“traded” or “organized market” or “over-the-counter.” No indication whether the parties have a due diligence requirement to verify if traded in some venue.  Requested clarification.</w:t>
            </w:r>
          </w:p>
        </w:tc>
      </w:tr>
      <w:tr w:rsidR="002A7D5B" w:rsidRPr="005E667F" w:rsidTr="00FA1926">
        <w:tc>
          <w:tcPr>
            <w:tcW w:w="1728" w:type="dxa"/>
            <w:shd w:val="pct12" w:color="auto" w:fill="auto"/>
          </w:tcPr>
          <w:p w:rsidR="002A7D5B" w:rsidRPr="005E667F" w:rsidRDefault="002A7D5B" w:rsidP="00FA1926">
            <w:pPr>
              <w:pStyle w:val="RSBodyText"/>
              <w:rPr>
                <w:rFonts w:asciiTheme="minorHAnsi" w:hAnsiTheme="minorHAnsi" w:cstheme="minorHAnsi"/>
                <w:b/>
              </w:rPr>
            </w:pPr>
            <w:r w:rsidRPr="005E667F">
              <w:rPr>
                <w:rFonts w:asciiTheme="minorHAnsi" w:hAnsiTheme="minorHAnsi" w:cstheme="minorHAnsi"/>
                <w:b/>
              </w:rPr>
              <w:t>Acceptable Intent</w:t>
            </w:r>
          </w:p>
        </w:tc>
        <w:tc>
          <w:tcPr>
            <w:tcW w:w="7848" w:type="dxa"/>
          </w:tcPr>
          <w:p w:rsidR="002A7D5B" w:rsidRPr="005E667F" w:rsidRDefault="002A7D5B" w:rsidP="00FA1926">
            <w:pPr>
              <w:pStyle w:val="RSBodyText"/>
              <w:rPr>
                <w:rFonts w:asciiTheme="minorHAnsi" w:hAnsiTheme="minorHAnsi" w:cstheme="minorHAnsi"/>
              </w:rPr>
            </w:pPr>
            <w:r w:rsidRPr="005E667F">
              <w:rPr>
                <w:rFonts w:asciiTheme="minorHAnsi" w:hAnsiTheme="minorHAnsi" w:cstheme="minorHAnsi"/>
              </w:rPr>
              <w:t xml:space="preserve">To serve an independent commercial, business or non-profit purpose. No indication of the meaning of “independent.” PDR at 48247. </w:t>
            </w:r>
          </w:p>
        </w:tc>
      </w:tr>
      <w:tr w:rsidR="002A7D5B" w:rsidRPr="005E667F" w:rsidTr="00FA1926">
        <w:tc>
          <w:tcPr>
            <w:tcW w:w="1728" w:type="dxa"/>
            <w:shd w:val="pct12" w:color="auto" w:fill="auto"/>
          </w:tcPr>
          <w:p w:rsidR="002A7D5B" w:rsidRPr="005E667F" w:rsidRDefault="002A7D5B" w:rsidP="00FA1926">
            <w:pPr>
              <w:pStyle w:val="RSBodyText"/>
              <w:rPr>
                <w:rFonts w:asciiTheme="minorHAnsi" w:hAnsiTheme="minorHAnsi" w:cstheme="minorHAnsi"/>
                <w:b/>
              </w:rPr>
            </w:pPr>
            <w:r w:rsidRPr="005E667F">
              <w:rPr>
                <w:rFonts w:asciiTheme="minorHAnsi" w:hAnsiTheme="minorHAnsi" w:cstheme="minorHAnsi"/>
                <w:b/>
              </w:rPr>
              <w:t>Unacceptable Intent</w:t>
            </w:r>
          </w:p>
        </w:tc>
        <w:tc>
          <w:tcPr>
            <w:tcW w:w="7848" w:type="dxa"/>
          </w:tcPr>
          <w:p w:rsidR="002A7D5B" w:rsidRPr="005E667F" w:rsidRDefault="002A7D5B" w:rsidP="00FA1926">
            <w:pPr>
              <w:pStyle w:val="RSBodyText"/>
              <w:rPr>
                <w:rFonts w:asciiTheme="minorHAnsi" w:hAnsiTheme="minorHAnsi" w:cstheme="minorHAnsi"/>
              </w:rPr>
            </w:pPr>
            <w:r w:rsidRPr="005E667F">
              <w:rPr>
                <w:rFonts w:asciiTheme="minorHAnsi" w:hAnsiTheme="minorHAnsi" w:cstheme="minorHAnsi"/>
              </w:rPr>
              <w:t xml:space="preserve">Speculative, </w:t>
            </w:r>
            <w:r w:rsidRPr="005E667F">
              <w:rPr>
                <w:rFonts w:asciiTheme="minorHAnsi" w:hAnsiTheme="minorHAnsi" w:cstheme="minorHAnsi"/>
                <w:b/>
              </w:rPr>
              <w:t>hedging</w:t>
            </w:r>
            <w:r w:rsidRPr="005E667F">
              <w:rPr>
                <w:rFonts w:asciiTheme="minorHAnsi" w:hAnsiTheme="minorHAnsi" w:cstheme="minorHAnsi"/>
              </w:rPr>
              <w:t xml:space="preserve"> or investment purpose. PDR at 48247 and 48249. No definition of “hedging” in this context, but requested clarification.</w:t>
            </w:r>
          </w:p>
        </w:tc>
      </w:tr>
      <w:tr w:rsidR="002A7D5B" w:rsidRPr="005E667F" w:rsidTr="00FA1926">
        <w:tc>
          <w:tcPr>
            <w:tcW w:w="1728" w:type="dxa"/>
            <w:shd w:val="pct12" w:color="auto" w:fill="auto"/>
          </w:tcPr>
          <w:p w:rsidR="002A7D5B" w:rsidRPr="005E667F" w:rsidRDefault="002A7D5B" w:rsidP="00FA1926">
            <w:pPr>
              <w:pStyle w:val="RSBodyText"/>
              <w:rPr>
                <w:rFonts w:asciiTheme="minorHAnsi" w:hAnsiTheme="minorHAnsi" w:cstheme="minorHAnsi"/>
                <w:b/>
              </w:rPr>
            </w:pPr>
            <w:r w:rsidRPr="005E667F">
              <w:rPr>
                <w:rFonts w:asciiTheme="minorHAnsi" w:hAnsiTheme="minorHAnsi" w:cstheme="minorHAnsi"/>
                <w:b/>
              </w:rPr>
              <w:t>Acceptable Contract Examples</w:t>
            </w:r>
          </w:p>
        </w:tc>
        <w:tc>
          <w:tcPr>
            <w:tcW w:w="7848" w:type="dxa"/>
          </w:tcPr>
          <w:p w:rsidR="002A7D5B" w:rsidRPr="005E667F" w:rsidRDefault="002A7D5B" w:rsidP="00FA1926">
            <w:pPr>
              <w:pStyle w:val="RSBodyText"/>
              <w:rPr>
                <w:rFonts w:asciiTheme="minorHAnsi" w:hAnsiTheme="minorHAnsi" w:cstheme="minorHAnsi"/>
              </w:rPr>
            </w:pPr>
            <w:r w:rsidRPr="005E667F">
              <w:rPr>
                <w:rFonts w:asciiTheme="minorHAnsi" w:hAnsiTheme="minorHAnsi" w:cstheme="minorHAnsi"/>
              </w:rPr>
              <w:t>“Safe harbor” is expressly a non-exhaustive list that includes: (a) sales, servicing or distribution arrangements; (b) purchase, sale, lease or transfer of…equipment or inventory.  PDR at 48247. Safe harbor also includes other commercial agreements, contracts and transaction with characteristics and terms identified above. PDR at 48247.</w:t>
            </w:r>
          </w:p>
        </w:tc>
      </w:tr>
    </w:tbl>
    <w:p w:rsidR="002A7D5B" w:rsidRPr="005E667F" w:rsidRDefault="002A7D5B" w:rsidP="00DD394B">
      <w:pPr>
        <w:pStyle w:val="RSBodyText"/>
        <w:rPr>
          <w:rFonts w:asciiTheme="minorHAnsi" w:hAnsiTheme="minorHAnsi" w:cstheme="minorHAnsi"/>
          <w:b/>
        </w:rPr>
      </w:pPr>
    </w:p>
    <w:p w:rsidR="002A7D5B" w:rsidRPr="005E667F" w:rsidRDefault="002A7D5B" w:rsidP="00DD394B">
      <w:pPr>
        <w:pStyle w:val="RSBodyText"/>
        <w:rPr>
          <w:rFonts w:asciiTheme="minorHAnsi" w:hAnsiTheme="minorHAnsi" w:cstheme="minorHAnsi"/>
          <w:b/>
        </w:rPr>
      </w:pPr>
    </w:p>
    <w:p w:rsidR="008D3C55" w:rsidRPr="005E667F" w:rsidRDefault="008D3C55" w:rsidP="00DD394B">
      <w:pPr>
        <w:pStyle w:val="RSBodyText"/>
        <w:rPr>
          <w:rFonts w:asciiTheme="minorHAnsi" w:hAnsiTheme="minorHAnsi" w:cstheme="minorHAnsi"/>
          <w:b/>
        </w:rPr>
      </w:pPr>
    </w:p>
    <w:p w:rsidR="00DD394B" w:rsidRPr="005E667F" w:rsidRDefault="00EB182C" w:rsidP="008D3C55">
      <w:pPr>
        <w:pStyle w:val="Heading1"/>
        <w:rPr>
          <w:rFonts w:asciiTheme="minorHAnsi" w:hAnsiTheme="minorHAnsi" w:cstheme="minorHAnsi"/>
          <w:szCs w:val="24"/>
        </w:rPr>
      </w:pPr>
      <w:r w:rsidRPr="000D7434">
        <w:rPr>
          <w:rFonts w:asciiTheme="minorHAnsi" w:hAnsiTheme="minorHAnsi" w:cstheme="minorHAnsi"/>
          <w:b/>
          <w:szCs w:val="24"/>
        </w:rPr>
        <w:t>Certain Physical Commercial Agreements, Contracts or Transactions</w:t>
      </w:r>
      <w:r w:rsidR="00664DE5">
        <w:rPr>
          <w:rFonts w:asciiTheme="minorHAnsi" w:hAnsiTheme="minorHAnsi" w:cstheme="minorHAnsi"/>
          <w:b/>
          <w:szCs w:val="24"/>
        </w:rPr>
        <w:t xml:space="preserve"> for the Supply and Consumption of E</w:t>
      </w:r>
      <w:r w:rsidR="005906C6">
        <w:rPr>
          <w:rFonts w:asciiTheme="minorHAnsi" w:hAnsiTheme="minorHAnsi" w:cstheme="minorHAnsi"/>
          <w:b/>
          <w:szCs w:val="24"/>
        </w:rPr>
        <w:t>nergy</w:t>
      </w:r>
      <w:r w:rsidRPr="005E667F">
        <w:rPr>
          <w:rStyle w:val="FootnoteReference"/>
          <w:rFonts w:asciiTheme="minorHAnsi" w:hAnsiTheme="minorHAnsi" w:cstheme="minorHAnsi"/>
          <w:szCs w:val="24"/>
        </w:rPr>
        <w:footnoteReference w:id="12"/>
      </w:r>
    </w:p>
    <w:tbl>
      <w:tblPr>
        <w:tblStyle w:val="TableGrid"/>
        <w:tblW w:w="0" w:type="auto"/>
        <w:tblLook w:val="04A0" w:firstRow="1" w:lastRow="0" w:firstColumn="1" w:lastColumn="0" w:noHBand="0" w:noVBand="1"/>
      </w:tblPr>
      <w:tblGrid>
        <w:gridCol w:w="1728"/>
        <w:gridCol w:w="7848"/>
      </w:tblGrid>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Key Definition</w:t>
            </w:r>
          </w:p>
        </w:tc>
        <w:tc>
          <w:tcPr>
            <w:tcW w:w="7848" w:type="dxa"/>
          </w:tcPr>
          <w:p w:rsidR="00DD394B" w:rsidRPr="005E667F" w:rsidRDefault="00351EA4" w:rsidP="006C7F8D">
            <w:pPr>
              <w:pStyle w:val="RSBodyText"/>
              <w:rPr>
                <w:rFonts w:asciiTheme="minorHAnsi" w:hAnsiTheme="minorHAnsi" w:cstheme="minorHAnsi"/>
              </w:rPr>
            </w:pPr>
            <w:r w:rsidRPr="005E667F">
              <w:rPr>
                <w:rFonts w:asciiTheme="minorHAnsi" w:hAnsiTheme="minorHAnsi" w:cstheme="minorHAnsi"/>
              </w:rPr>
              <w:t xml:space="preserve">Certain physical commercial agreements, contracts or transactions for the supply and consumption of energy that provide </w:t>
            </w:r>
            <w:r w:rsidR="005E667F" w:rsidRPr="005E667F">
              <w:rPr>
                <w:rFonts w:asciiTheme="minorHAnsi" w:hAnsiTheme="minorHAnsi" w:cstheme="minorHAnsi"/>
              </w:rPr>
              <w:t>flexibility .</w:t>
            </w:r>
            <w:r w:rsidRPr="005E667F">
              <w:rPr>
                <w:rFonts w:asciiTheme="minorHAnsi" w:hAnsiTheme="minorHAnsi" w:cstheme="minorHAnsi"/>
              </w:rPr>
              <w:t xml:space="preserve"> .</w:t>
            </w:r>
            <w:r w:rsidR="00922C13" w:rsidRPr="005E667F">
              <w:rPr>
                <w:rFonts w:asciiTheme="minorHAnsi" w:hAnsiTheme="minorHAnsi" w:cstheme="minorHAnsi"/>
              </w:rPr>
              <w:t xml:space="preserve"> . may have option-like features</w:t>
            </w:r>
            <w:r w:rsidRPr="005E667F">
              <w:rPr>
                <w:rFonts w:asciiTheme="minorHAnsi" w:hAnsiTheme="minorHAnsi" w:cstheme="minorHAnsi"/>
              </w:rPr>
              <w:t xml:space="preserve">. PDR 4824. </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Acceptable Parties</w:t>
            </w:r>
          </w:p>
        </w:tc>
        <w:tc>
          <w:tcPr>
            <w:tcW w:w="7848" w:type="dxa"/>
          </w:tcPr>
          <w:p w:rsidR="00DD394B" w:rsidRPr="005E667F" w:rsidRDefault="00210FF9" w:rsidP="006C7F8D">
            <w:pPr>
              <w:pStyle w:val="RSBodyText"/>
              <w:rPr>
                <w:rFonts w:asciiTheme="minorHAnsi" w:hAnsiTheme="minorHAnsi" w:cstheme="minorHAnsi"/>
              </w:rPr>
            </w:pPr>
            <w:r w:rsidRPr="005E667F">
              <w:rPr>
                <w:rFonts w:asciiTheme="minorHAnsi" w:hAnsiTheme="minorHAnsi" w:cstheme="minorHAnsi"/>
              </w:rPr>
              <w:t>No guidance provided.</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Acceptable Contract Provisions</w:t>
            </w:r>
          </w:p>
        </w:tc>
        <w:tc>
          <w:tcPr>
            <w:tcW w:w="7848" w:type="dxa"/>
          </w:tcPr>
          <w:p w:rsidR="00EB182C" w:rsidRPr="005E667F" w:rsidRDefault="000B5EA2" w:rsidP="00EB182C">
            <w:pPr>
              <w:pStyle w:val="RSBodyText"/>
              <w:rPr>
                <w:rFonts w:asciiTheme="minorHAnsi" w:hAnsiTheme="minorHAnsi" w:cstheme="minorHAnsi"/>
              </w:rPr>
            </w:pPr>
            <w:r w:rsidRPr="005E667F">
              <w:rPr>
                <w:rFonts w:asciiTheme="minorHAnsi" w:hAnsiTheme="minorHAnsi" w:cstheme="minorHAnsi"/>
              </w:rPr>
              <w:t>Regulatory safe harbor says a contract is</w:t>
            </w:r>
            <w:r w:rsidR="005906C6">
              <w:rPr>
                <w:rFonts w:asciiTheme="minorHAnsi" w:hAnsiTheme="minorHAnsi" w:cstheme="minorHAnsi"/>
              </w:rPr>
              <w:t xml:space="preserve"> not</w:t>
            </w:r>
            <w:r w:rsidR="00EB182C" w:rsidRPr="005E667F">
              <w:rPr>
                <w:rFonts w:asciiTheme="minorHAnsi" w:hAnsiTheme="minorHAnsi" w:cstheme="minorHAnsi"/>
              </w:rPr>
              <w:t xml:space="preserve"> </w:t>
            </w:r>
            <w:r w:rsidR="00EB182C" w:rsidRPr="005E667F">
              <w:rPr>
                <w:rFonts w:asciiTheme="minorHAnsi" w:hAnsiTheme="minorHAnsi" w:cstheme="minorHAnsi"/>
                <w:b/>
                <w:i/>
                <w:u w:val="single"/>
              </w:rPr>
              <w:t>an option</w:t>
            </w:r>
            <w:r w:rsidR="00EB182C" w:rsidRPr="005E667F">
              <w:rPr>
                <w:rFonts w:asciiTheme="minorHAnsi" w:hAnsiTheme="minorHAnsi" w:cstheme="minorHAnsi"/>
              </w:rPr>
              <w:t xml:space="preserve"> if:</w:t>
            </w:r>
            <w:r w:rsidR="003C0303" w:rsidRPr="005E667F">
              <w:rPr>
                <w:rStyle w:val="FootnoteReference"/>
                <w:rFonts w:asciiTheme="minorHAnsi" w:hAnsiTheme="minorHAnsi" w:cstheme="minorHAnsi"/>
              </w:rPr>
              <w:footnoteReference w:id="13"/>
            </w:r>
          </w:p>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 xml:space="preserve">1. The subject of the contract is usage of a specified facility or part thereof rather than the purchase or sale of the commodity that is to be created, transported, processed or stored using the specified facility; </w:t>
            </w:r>
          </w:p>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2. The contract grants the buyer the exclusive use of the specified facility or part thereof during its term and provides for an unconditional obligation on the part of the seller to grant the buyer the exclusive use of the specified facility or part thereof; and</w:t>
            </w:r>
          </w:p>
          <w:p w:rsidR="00DD394B" w:rsidRPr="005E667F" w:rsidRDefault="00EB182C" w:rsidP="00EB182C">
            <w:pPr>
              <w:pStyle w:val="RSBodyText"/>
              <w:rPr>
                <w:rFonts w:asciiTheme="minorHAnsi" w:hAnsiTheme="minorHAnsi" w:cstheme="minorHAnsi"/>
              </w:rPr>
            </w:pPr>
            <w:r w:rsidRPr="005E667F">
              <w:rPr>
                <w:rFonts w:asciiTheme="minorHAnsi" w:hAnsiTheme="minorHAnsi" w:cstheme="minorHAnsi"/>
              </w:rPr>
              <w:t>3. The payment for the use of the specified facility or part thereof represents a payment for its use rather than the option to use it.</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Unacceptable Contract Provisions</w:t>
            </w:r>
          </w:p>
        </w:tc>
        <w:tc>
          <w:tcPr>
            <w:tcW w:w="7848" w:type="dxa"/>
          </w:tcPr>
          <w:p w:rsidR="00EB182C" w:rsidRPr="005E667F" w:rsidRDefault="00EB182C" w:rsidP="00EB182C">
            <w:pPr>
              <w:pStyle w:val="RSBodyText"/>
              <w:rPr>
                <w:rFonts w:asciiTheme="minorHAnsi" w:hAnsiTheme="minorHAnsi" w:cstheme="minorHAnsi"/>
              </w:rPr>
            </w:pPr>
            <w:r w:rsidRPr="005E667F">
              <w:rPr>
                <w:rFonts w:asciiTheme="minorHAnsi" w:hAnsiTheme="minorHAnsi" w:cstheme="minorHAnsi"/>
              </w:rPr>
              <w:t xml:space="preserve">Overselling transmission or transportation capacity of the power grid </w:t>
            </w:r>
            <w:r w:rsidR="000B5EA2" w:rsidRPr="005E667F">
              <w:rPr>
                <w:rFonts w:asciiTheme="minorHAnsi" w:hAnsiTheme="minorHAnsi" w:cstheme="minorHAnsi"/>
              </w:rPr>
              <w:t>or</w:t>
            </w:r>
            <w:r w:rsidRPr="005E667F">
              <w:rPr>
                <w:rFonts w:asciiTheme="minorHAnsi" w:hAnsiTheme="minorHAnsi" w:cstheme="minorHAnsi"/>
              </w:rPr>
              <w:t xml:space="preserve"> gas pipelines would be per se inconsistent with the interpretation.</w:t>
            </w:r>
            <w:r w:rsidR="00210FF9" w:rsidRPr="005E667F">
              <w:rPr>
                <w:rFonts w:asciiTheme="minorHAnsi" w:hAnsiTheme="minorHAnsi" w:cstheme="minorHAnsi"/>
              </w:rPr>
              <w:t xml:space="preserve"> FN 377 PDR at 48242</w:t>
            </w:r>
          </w:p>
          <w:p w:rsidR="00DD394B" w:rsidRDefault="00191627" w:rsidP="00191627">
            <w:pPr>
              <w:pStyle w:val="RSBodyText"/>
              <w:rPr>
                <w:rFonts w:asciiTheme="minorHAnsi" w:hAnsiTheme="minorHAnsi" w:cstheme="minorHAnsi"/>
              </w:rPr>
            </w:pPr>
            <w:r w:rsidRPr="005E667F">
              <w:rPr>
                <w:rFonts w:asciiTheme="minorHAnsi" w:hAnsiTheme="minorHAnsi" w:cstheme="minorHAnsi"/>
              </w:rPr>
              <w:t>“However, i</w:t>
            </w:r>
            <w:r w:rsidR="00EB182C" w:rsidRPr="005E667F">
              <w:rPr>
                <w:rFonts w:asciiTheme="minorHAnsi" w:hAnsiTheme="minorHAnsi" w:cstheme="minorHAnsi"/>
              </w:rPr>
              <w:t xml:space="preserve">f the right to use the specified facility is only obtained via the payment of a demand charge or reservation fee, and the exercise of the right (or use of the specified facility or part thereof) entails the further payment of actual storage fees, usage fees, rents or other analogous service charges not included in the demand charge or reservation fee, such contract is a commodity option </w:t>
            </w:r>
            <w:r w:rsidR="00582C19" w:rsidRPr="005E667F">
              <w:rPr>
                <w:rFonts w:asciiTheme="minorHAnsi" w:hAnsiTheme="minorHAnsi" w:cstheme="minorHAnsi"/>
              </w:rPr>
              <w:t>subject to the swap definition.</w:t>
            </w:r>
            <w:r w:rsidR="00340E50" w:rsidRPr="005E667F">
              <w:rPr>
                <w:rFonts w:asciiTheme="minorHAnsi" w:hAnsiTheme="minorHAnsi" w:cstheme="minorHAnsi"/>
              </w:rPr>
              <w:t>”  PDR at 48242</w:t>
            </w:r>
            <w:r w:rsidRPr="005E667F">
              <w:rPr>
                <w:rFonts w:asciiTheme="minorHAnsi" w:hAnsiTheme="minorHAnsi" w:cstheme="minorHAnsi"/>
              </w:rPr>
              <w:t>.</w:t>
            </w:r>
            <w:r w:rsidR="00664DE5">
              <w:rPr>
                <w:rStyle w:val="FootnoteReference"/>
                <w:rFonts w:asciiTheme="minorHAnsi" w:hAnsiTheme="minorHAnsi" w:cstheme="minorHAnsi"/>
              </w:rPr>
              <w:footnoteReference w:id="14"/>
            </w:r>
            <w:r w:rsidRPr="005E667F">
              <w:rPr>
                <w:rFonts w:asciiTheme="minorHAnsi" w:hAnsiTheme="minorHAnsi" w:cstheme="minorHAnsi"/>
              </w:rPr>
              <w:t xml:space="preserve"> </w:t>
            </w:r>
          </w:p>
          <w:p w:rsidR="000D7434" w:rsidRDefault="000D7434" w:rsidP="00191627">
            <w:pPr>
              <w:pStyle w:val="RSBodyText"/>
              <w:rPr>
                <w:rFonts w:asciiTheme="minorHAnsi" w:hAnsiTheme="minorHAnsi" w:cstheme="minorHAnsi"/>
              </w:rPr>
            </w:pPr>
            <w:r>
              <w:rPr>
                <w:rFonts w:asciiTheme="minorHAnsi" w:hAnsiTheme="minorHAnsi" w:cstheme="minorHAnsi"/>
              </w:rPr>
              <w:t>N</w:t>
            </w:r>
            <w:r w:rsidR="00AA0C38">
              <w:rPr>
                <w:rFonts w:asciiTheme="minorHAnsi" w:hAnsiTheme="minorHAnsi" w:cstheme="minorHAnsi"/>
              </w:rPr>
              <w:t>otwithstanding the foregoing</w:t>
            </w:r>
            <w:r w:rsidR="005906C6">
              <w:rPr>
                <w:rFonts w:asciiTheme="minorHAnsi" w:hAnsiTheme="minorHAnsi" w:cstheme="minorHAnsi"/>
              </w:rPr>
              <w:t xml:space="preserve"> language in the PDR</w:t>
            </w:r>
            <w:r w:rsidR="00AA0C38">
              <w:rPr>
                <w:rFonts w:asciiTheme="minorHAnsi" w:hAnsiTheme="minorHAnsi" w:cstheme="minorHAnsi"/>
              </w:rPr>
              <w:t>,  t</w:t>
            </w:r>
            <w:r>
              <w:rPr>
                <w:rFonts w:asciiTheme="minorHAnsi" w:hAnsiTheme="minorHAnsi" w:cstheme="minorHAnsi"/>
              </w:rPr>
              <w:t>he CFTC</w:t>
            </w:r>
            <w:r w:rsidR="005906C6">
              <w:rPr>
                <w:rFonts w:asciiTheme="minorHAnsi" w:hAnsiTheme="minorHAnsi" w:cstheme="minorHAnsi"/>
              </w:rPr>
              <w:t>, OCG has said it,</w:t>
            </w:r>
            <w:r>
              <w:rPr>
                <w:rFonts w:asciiTheme="minorHAnsi" w:hAnsiTheme="minorHAnsi" w:cstheme="minorHAnsi"/>
              </w:rPr>
              <w:t xml:space="preserve"> will </w:t>
            </w:r>
            <w:r w:rsidRPr="005906C6">
              <w:rPr>
                <w:rFonts w:asciiTheme="minorHAnsi" w:hAnsiTheme="minorHAnsi" w:cstheme="minorHAnsi"/>
                <w:u w:val="single"/>
              </w:rPr>
              <w:t>not</w:t>
            </w:r>
            <w:r>
              <w:rPr>
                <w:rFonts w:asciiTheme="minorHAnsi" w:hAnsiTheme="minorHAnsi" w:cstheme="minorHAnsi"/>
              </w:rPr>
              <w:t xml:space="preserve"> interpret two-tiered pricing to indicate a commodity option (“swap”) if the f</w:t>
            </w:r>
            <w:r w:rsidR="005906C6">
              <w:rPr>
                <w:rFonts w:asciiTheme="minorHAnsi" w:hAnsiTheme="minorHAnsi" w:cstheme="minorHAnsi"/>
              </w:rPr>
              <w:t>our</w:t>
            </w:r>
            <w:r>
              <w:rPr>
                <w:rFonts w:asciiTheme="minorHAnsi" w:hAnsiTheme="minorHAnsi" w:cstheme="minorHAnsi"/>
              </w:rPr>
              <w:t xml:space="preserve"> additional steps listed below are met: </w:t>
            </w:r>
          </w:p>
          <w:p w:rsidR="00AA0C38" w:rsidRDefault="005906C6" w:rsidP="00191627">
            <w:pPr>
              <w:pStyle w:val="RSBodyText"/>
              <w:rPr>
                <w:rFonts w:asciiTheme="minorHAnsi" w:hAnsiTheme="minorHAnsi" w:cstheme="minorHAnsi"/>
              </w:rPr>
            </w:pPr>
            <w:r>
              <w:rPr>
                <w:rFonts w:asciiTheme="minorHAnsi" w:hAnsiTheme="minorHAnsi" w:cstheme="minorHAnsi"/>
              </w:rPr>
              <w:t>1</w:t>
            </w:r>
            <w:r w:rsidR="00AA0C38">
              <w:rPr>
                <w:rFonts w:asciiTheme="minorHAnsi" w:hAnsiTheme="minorHAnsi" w:cstheme="minorHAnsi"/>
              </w:rPr>
              <w:t>. the right to use the specified portion of the facility for the term of the agreement, contract or transaction is legally established upon entering into the agreement, contract or transaction;</w:t>
            </w:r>
          </w:p>
          <w:p w:rsidR="00AA0C38" w:rsidRDefault="005906C6" w:rsidP="00191627">
            <w:pPr>
              <w:pStyle w:val="RSBodyText"/>
              <w:rPr>
                <w:rFonts w:asciiTheme="minorHAnsi" w:hAnsiTheme="minorHAnsi" w:cstheme="minorHAnsi"/>
              </w:rPr>
            </w:pPr>
            <w:r>
              <w:rPr>
                <w:rFonts w:asciiTheme="minorHAnsi" w:hAnsiTheme="minorHAnsi" w:cstheme="minorHAnsi"/>
              </w:rPr>
              <w:t>2</w:t>
            </w:r>
            <w:r w:rsidR="00AA0C38">
              <w:rPr>
                <w:rFonts w:asciiTheme="minorHAnsi" w:hAnsiTheme="minorHAnsi" w:cstheme="minorHAnsi"/>
              </w:rPr>
              <w:t>. the party who has legally established the right to use the specified portion of the facility for the term of the agreement, contract or transaction pays the Demand Charge/Reservation Fee in a commercially reasonable timeframe’</w:t>
            </w:r>
          </w:p>
          <w:p w:rsidR="00AA0C38" w:rsidRDefault="005906C6" w:rsidP="00191627">
            <w:pPr>
              <w:pStyle w:val="RSBodyText"/>
              <w:rPr>
                <w:rFonts w:asciiTheme="minorHAnsi" w:hAnsiTheme="minorHAnsi" w:cstheme="minorHAnsi"/>
              </w:rPr>
            </w:pPr>
            <w:r>
              <w:rPr>
                <w:rFonts w:asciiTheme="minorHAnsi" w:hAnsiTheme="minorHAnsi" w:cstheme="minorHAnsi"/>
              </w:rPr>
              <w:t>3</w:t>
            </w:r>
            <w:r w:rsidR="00AA0C38">
              <w:rPr>
                <w:rFonts w:asciiTheme="minorHAnsi" w:hAnsiTheme="minorHAnsi" w:cstheme="minorHAnsi"/>
              </w:rPr>
              <w:t>. the use of the facility does not depend on the further exercise of an option; and</w:t>
            </w:r>
          </w:p>
          <w:p w:rsidR="00AA0C38" w:rsidRPr="005E667F" w:rsidRDefault="005906C6" w:rsidP="00191627">
            <w:pPr>
              <w:pStyle w:val="RSBodyText"/>
              <w:rPr>
                <w:rFonts w:asciiTheme="minorHAnsi" w:hAnsiTheme="minorHAnsi" w:cstheme="minorHAnsi"/>
              </w:rPr>
            </w:pPr>
            <w:r>
              <w:rPr>
                <w:rFonts w:asciiTheme="minorHAnsi" w:hAnsiTheme="minorHAnsi" w:cstheme="minorHAnsi"/>
              </w:rPr>
              <w:t>4</w:t>
            </w:r>
            <w:r w:rsidR="00AA0C38">
              <w:rPr>
                <w:rFonts w:asciiTheme="minorHAnsi" w:hAnsiTheme="minorHAnsi" w:cstheme="minorHAnsi"/>
              </w:rPr>
              <w:t xml:space="preserve">. the Usage Fee is in the nature of a reimbursement for the variable costs incurred by the operator of the facility in rendering the service. </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Acceptable Intent</w:t>
            </w:r>
          </w:p>
        </w:tc>
        <w:tc>
          <w:tcPr>
            <w:tcW w:w="7848" w:type="dxa"/>
          </w:tcPr>
          <w:p w:rsidR="00DD394B" w:rsidRPr="005E667F" w:rsidRDefault="00210FF9" w:rsidP="006C7F8D">
            <w:pPr>
              <w:pStyle w:val="RSBodyText"/>
              <w:rPr>
                <w:rFonts w:asciiTheme="minorHAnsi" w:hAnsiTheme="minorHAnsi" w:cstheme="minorHAnsi"/>
              </w:rPr>
            </w:pPr>
            <w:r w:rsidRPr="005E667F">
              <w:rPr>
                <w:rFonts w:asciiTheme="minorHAnsi" w:hAnsiTheme="minorHAnsi" w:cstheme="minorHAnsi"/>
              </w:rPr>
              <w:t xml:space="preserve">No guidance provided. </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Unacceptable Intent</w:t>
            </w:r>
          </w:p>
        </w:tc>
        <w:tc>
          <w:tcPr>
            <w:tcW w:w="7848" w:type="dxa"/>
          </w:tcPr>
          <w:p w:rsidR="00DD394B" w:rsidRPr="005E667F" w:rsidRDefault="00210FF9" w:rsidP="006C7F8D">
            <w:pPr>
              <w:pStyle w:val="RSBodyText"/>
              <w:rPr>
                <w:rFonts w:asciiTheme="minorHAnsi" w:hAnsiTheme="minorHAnsi" w:cstheme="minorHAnsi"/>
              </w:rPr>
            </w:pPr>
            <w:r w:rsidRPr="005E667F">
              <w:rPr>
                <w:rFonts w:asciiTheme="minorHAnsi" w:hAnsiTheme="minorHAnsi" w:cstheme="minorHAnsi"/>
              </w:rPr>
              <w:t>No guidance provided.</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Post-Contract Events that Affect Safe Harbor</w:t>
            </w:r>
          </w:p>
        </w:tc>
        <w:tc>
          <w:tcPr>
            <w:tcW w:w="7848" w:type="dxa"/>
          </w:tcPr>
          <w:p w:rsidR="00DD394B" w:rsidRPr="005E667F" w:rsidRDefault="00210FF9" w:rsidP="006C7F8D">
            <w:pPr>
              <w:pStyle w:val="RSBodyText"/>
              <w:rPr>
                <w:rFonts w:asciiTheme="minorHAnsi" w:hAnsiTheme="minorHAnsi" w:cstheme="minorHAnsi"/>
              </w:rPr>
            </w:pPr>
            <w:r w:rsidRPr="005E667F">
              <w:rPr>
                <w:rFonts w:asciiTheme="minorHAnsi" w:hAnsiTheme="minorHAnsi" w:cstheme="minorHAnsi"/>
              </w:rPr>
              <w:t>No guidance provided.</w:t>
            </w:r>
          </w:p>
        </w:tc>
      </w:tr>
      <w:tr w:rsidR="00DD394B" w:rsidRPr="005E667F" w:rsidTr="006C7F8D">
        <w:tc>
          <w:tcPr>
            <w:tcW w:w="1728" w:type="dxa"/>
            <w:shd w:val="pct12" w:color="auto" w:fill="auto"/>
          </w:tcPr>
          <w:p w:rsidR="00DD394B" w:rsidRPr="005E667F" w:rsidRDefault="000B5EA2" w:rsidP="006C7F8D">
            <w:pPr>
              <w:pStyle w:val="RSBodyText"/>
              <w:rPr>
                <w:rFonts w:asciiTheme="minorHAnsi" w:hAnsiTheme="minorHAnsi" w:cstheme="minorHAnsi"/>
                <w:b/>
              </w:rPr>
            </w:pPr>
            <w:r w:rsidRPr="005E667F">
              <w:rPr>
                <w:rFonts w:asciiTheme="minorHAnsi" w:hAnsiTheme="minorHAnsi" w:cstheme="minorHAnsi"/>
                <w:b/>
              </w:rPr>
              <w:t>Questioned</w:t>
            </w:r>
            <w:r w:rsidR="00DD394B" w:rsidRPr="005E667F">
              <w:rPr>
                <w:rFonts w:asciiTheme="minorHAnsi" w:hAnsiTheme="minorHAnsi" w:cstheme="minorHAnsi"/>
                <w:b/>
              </w:rPr>
              <w:t xml:space="preserve"> Contract Examples</w:t>
            </w:r>
          </w:p>
        </w:tc>
        <w:tc>
          <w:tcPr>
            <w:tcW w:w="7848" w:type="dxa"/>
          </w:tcPr>
          <w:p w:rsidR="00DD394B" w:rsidRPr="005E667F" w:rsidRDefault="00210FF9" w:rsidP="006C7F8D">
            <w:pPr>
              <w:pStyle w:val="RSBodyText"/>
              <w:rPr>
                <w:rFonts w:asciiTheme="minorHAnsi" w:hAnsiTheme="minorHAnsi" w:cstheme="minorHAnsi"/>
              </w:rPr>
            </w:pPr>
            <w:r w:rsidRPr="005E667F">
              <w:rPr>
                <w:rFonts w:asciiTheme="minorHAnsi" w:hAnsiTheme="minorHAnsi" w:cstheme="minorHAnsi"/>
              </w:rPr>
              <w:t>Tolls on power plants, transportation agreements on gas pipelines, natural gas storage agreements</w:t>
            </w:r>
            <w:r w:rsidR="000B5EA2" w:rsidRPr="005E667F">
              <w:rPr>
                <w:rFonts w:asciiTheme="minorHAnsi" w:hAnsiTheme="minorHAnsi" w:cstheme="minorHAnsi"/>
              </w:rPr>
              <w:t>. PDR at 48242.</w:t>
            </w:r>
          </w:p>
        </w:tc>
      </w:tr>
    </w:tbl>
    <w:p w:rsidR="000C4EB8" w:rsidRPr="005E667F" w:rsidRDefault="000C4EB8" w:rsidP="00DD394B">
      <w:pPr>
        <w:pStyle w:val="RSBodyText"/>
        <w:rPr>
          <w:rFonts w:asciiTheme="minorHAnsi" w:hAnsiTheme="minorHAnsi" w:cstheme="minorHAnsi"/>
        </w:rPr>
      </w:pPr>
    </w:p>
    <w:p w:rsidR="000C4EB8" w:rsidRPr="005E667F" w:rsidRDefault="000C4EB8">
      <w:pPr>
        <w:rPr>
          <w:rFonts w:asciiTheme="minorHAnsi" w:hAnsiTheme="minorHAnsi" w:cstheme="minorHAnsi"/>
        </w:rPr>
      </w:pPr>
      <w:r w:rsidRPr="005E667F">
        <w:rPr>
          <w:rFonts w:asciiTheme="minorHAnsi" w:hAnsiTheme="minorHAnsi" w:cstheme="minorHAnsi"/>
        </w:rPr>
        <w:br w:type="page"/>
      </w:r>
    </w:p>
    <w:p w:rsidR="00DD394B" w:rsidRPr="005E667F" w:rsidRDefault="00DD394B" w:rsidP="00DD394B">
      <w:pPr>
        <w:pStyle w:val="RSBodyText"/>
        <w:rPr>
          <w:rFonts w:asciiTheme="minorHAnsi" w:hAnsiTheme="minorHAnsi" w:cstheme="minorHAnsi"/>
        </w:rPr>
      </w:pPr>
    </w:p>
    <w:p w:rsidR="00DD394B" w:rsidRPr="005E667F" w:rsidRDefault="00582C19" w:rsidP="008D3C55">
      <w:pPr>
        <w:pStyle w:val="Heading1"/>
        <w:rPr>
          <w:rFonts w:asciiTheme="minorHAnsi" w:hAnsiTheme="minorHAnsi" w:cstheme="minorHAnsi"/>
          <w:szCs w:val="24"/>
        </w:rPr>
      </w:pPr>
      <w:r w:rsidRPr="00E85214">
        <w:rPr>
          <w:rFonts w:asciiTheme="minorHAnsi" w:hAnsiTheme="minorHAnsi" w:cstheme="minorHAnsi"/>
          <w:b/>
          <w:szCs w:val="24"/>
        </w:rPr>
        <w:t>Trade Option Exemption for Commodity Option</w:t>
      </w:r>
      <w:r w:rsidR="00E85214">
        <w:rPr>
          <w:rFonts w:asciiTheme="minorHAnsi" w:hAnsiTheme="minorHAnsi" w:cstheme="minorHAnsi"/>
          <w:b/>
          <w:szCs w:val="24"/>
        </w:rPr>
        <w:t>s</w:t>
      </w:r>
      <w:r w:rsidR="005906C6">
        <w:rPr>
          <w:rFonts w:asciiTheme="minorHAnsi" w:hAnsiTheme="minorHAnsi" w:cstheme="minorHAnsi"/>
          <w:b/>
          <w:szCs w:val="24"/>
        </w:rPr>
        <w:t>.  Exemption is</w:t>
      </w:r>
      <w:r w:rsidR="00E85214">
        <w:rPr>
          <w:rFonts w:asciiTheme="minorHAnsi" w:hAnsiTheme="minorHAnsi" w:cstheme="minorHAnsi"/>
          <w:b/>
          <w:szCs w:val="24"/>
        </w:rPr>
        <w:t xml:space="preserve"> </w:t>
      </w:r>
      <w:r w:rsidR="005906C6">
        <w:rPr>
          <w:rFonts w:asciiTheme="minorHAnsi" w:hAnsiTheme="minorHAnsi" w:cstheme="minorHAnsi"/>
          <w:b/>
          <w:szCs w:val="24"/>
        </w:rPr>
        <w:t>n</w:t>
      </w:r>
      <w:r w:rsidR="00E85214">
        <w:rPr>
          <w:rFonts w:asciiTheme="minorHAnsi" w:hAnsiTheme="minorHAnsi" w:cstheme="minorHAnsi"/>
          <w:b/>
          <w:szCs w:val="24"/>
        </w:rPr>
        <w:t>ot from the Definition of “Swap,” but from Many of the Regulatory Requirements Applicable to Swaps.</w:t>
      </w:r>
      <w:r w:rsidRPr="005E667F">
        <w:rPr>
          <w:rStyle w:val="FootnoteReference"/>
          <w:rFonts w:asciiTheme="minorHAnsi" w:hAnsiTheme="minorHAnsi" w:cstheme="minorHAnsi"/>
          <w:szCs w:val="24"/>
        </w:rPr>
        <w:footnoteReference w:id="15"/>
      </w:r>
    </w:p>
    <w:tbl>
      <w:tblPr>
        <w:tblStyle w:val="TableGrid"/>
        <w:tblW w:w="0" w:type="auto"/>
        <w:tblLook w:val="04A0" w:firstRow="1" w:lastRow="0" w:firstColumn="1" w:lastColumn="0" w:noHBand="0" w:noVBand="1"/>
      </w:tblPr>
      <w:tblGrid>
        <w:gridCol w:w="1728"/>
        <w:gridCol w:w="7848"/>
      </w:tblGrid>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Key Definition</w:t>
            </w:r>
          </w:p>
        </w:tc>
        <w:tc>
          <w:tcPr>
            <w:tcW w:w="7848" w:type="dxa"/>
          </w:tcPr>
          <w:p w:rsidR="00DD394B" w:rsidRPr="005E667F" w:rsidRDefault="00181CB2" w:rsidP="005906C6">
            <w:pPr>
              <w:pStyle w:val="RSBodyText"/>
              <w:rPr>
                <w:rFonts w:asciiTheme="minorHAnsi" w:hAnsiTheme="minorHAnsi" w:cstheme="minorHAnsi"/>
              </w:rPr>
            </w:pPr>
            <w:r w:rsidRPr="005E667F">
              <w:rPr>
                <w:rFonts w:asciiTheme="minorHAnsi" w:hAnsiTheme="minorHAnsi" w:cstheme="minorHAnsi"/>
              </w:rPr>
              <w:t xml:space="preserve">Pursuant to the trade option interim final rule, if the offeror, the offeree, and the option transaction meet the </w:t>
            </w:r>
            <w:r w:rsidR="005906C6">
              <w:rPr>
                <w:rFonts w:asciiTheme="minorHAnsi" w:hAnsiTheme="minorHAnsi" w:cstheme="minorHAnsi"/>
              </w:rPr>
              <w:t>conditions of IFR 32.3 (below)</w:t>
            </w:r>
            <w:r w:rsidRPr="005E667F">
              <w:rPr>
                <w:rFonts w:asciiTheme="minorHAnsi" w:hAnsiTheme="minorHAnsi" w:cstheme="minorHAnsi"/>
              </w:rPr>
              <w:t>, such option transaction</w:t>
            </w:r>
            <w:r w:rsidR="006E1A56" w:rsidRPr="005E667F">
              <w:rPr>
                <w:rFonts w:asciiTheme="minorHAnsi" w:hAnsiTheme="minorHAnsi" w:cstheme="minorHAnsi"/>
              </w:rPr>
              <w:t xml:space="preserve"> is a “swap,” </w:t>
            </w:r>
            <w:r w:rsidR="006E1A56" w:rsidRPr="005906C6">
              <w:rPr>
                <w:rFonts w:asciiTheme="minorHAnsi" w:hAnsiTheme="minorHAnsi" w:cstheme="minorHAnsi"/>
                <w:u w:val="single"/>
              </w:rPr>
              <w:t>but</w:t>
            </w:r>
            <w:r w:rsidRPr="005E667F">
              <w:rPr>
                <w:rFonts w:asciiTheme="minorHAnsi" w:hAnsiTheme="minorHAnsi" w:cstheme="minorHAnsi"/>
              </w:rPr>
              <w:t xml:space="preserve"> will be exempt from the general Dodd-Frank swaps regime</w:t>
            </w:r>
            <w:r w:rsidR="005906C6">
              <w:rPr>
                <w:rFonts w:asciiTheme="minorHAnsi" w:hAnsiTheme="minorHAnsi" w:cstheme="minorHAnsi"/>
              </w:rPr>
              <w:t xml:space="preserve"> and</w:t>
            </w:r>
            <w:r w:rsidR="00B21EA0" w:rsidRPr="005E667F">
              <w:rPr>
                <w:rFonts w:asciiTheme="minorHAnsi" w:hAnsiTheme="minorHAnsi" w:cstheme="minorHAnsi"/>
              </w:rPr>
              <w:t xml:space="preserve"> subject to specified ongoing conditions and compliance requirements discussed below, as applicable. </w:t>
            </w:r>
            <w:r w:rsidR="006E1A56" w:rsidRPr="005E667F">
              <w:rPr>
                <w:rFonts w:asciiTheme="minorHAnsi" w:hAnsiTheme="minorHAnsi" w:cstheme="minorHAnsi"/>
              </w:rPr>
              <w:t xml:space="preserve">See </w:t>
            </w:r>
            <w:r w:rsidR="00213A83" w:rsidRPr="005E667F">
              <w:rPr>
                <w:rFonts w:asciiTheme="minorHAnsi" w:hAnsiTheme="minorHAnsi" w:cstheme="minorHAnsi"/>
              </w:rPr>
              <w:t>COR</w:t>
            </w:r>
            <w:r w:rsidR="00B21EA0" w:rsidRPr="005E667F">
              <w:rPr>
                <w:rFonts w:asciiTheme="minorHAnsi" w:hAnsiTheme="minorHAnsi" w:cstheme="minorHAnsi"/>
              </w:rPr>
              <w:t xml:space="preserve"> at 25326.</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Acceptable Parties</w:t>
            </w:r>
          </w:p>
        </w:tc>
        <w:tc>
          <w:tcPr>
            <w:tcW w:w="7848" w:type="dxa"/>
          </w:tcPr>
          <w:p w:rsidR="00582C19" w:rsidRPr="005E667F" w:rsidRDefault="00582C19" w:rsidP="00582C19">
            <w:pPr>
              <w:pStyle w:val="RSBodyText"/>
              <w:rPr>
                <w:rFonts w:asciiTheme="minorHAnsi" w:hAnsiTheme="minorHAnsi" w:cstheme="minorHAnsi"/>
              </w:rPr>
            </w:pPr>
            <w:r w:rsidRPr="005E667F">
              <w:rPr>
                <w:rFonts w:asciiTheme="minorHAnsi" w:hAnsiTheme="minorHAnsi" w:cstheme="minorHAnsi"/>
              </w:rPr>
              <w:t>Offeror must be either: (a) an eligible contract participant or (b) a producer, processor, or commercial user of, or a merchant handling the commodity that is the subject of the commodity option transaction, or the products or by-products thereof, and such offeror is offering or entering into the commodity option transaction solely for purposes related to its business as such.  Offeror must have a reasonable basis to believe that the transaction is offered to any offeree that meets the requirements below.  § 32.3(a)(1)</w:t>
            </w:r>
            <w:r w:rsidR="00072375" w:rsidRPr="005E667F">
              <w:rPr>
                <w:rFonts w:asciiTheme="minorHAnsi" w:hAnsiTheme="minorHAnsi" w:cstheme="minorHAnsi"/>
              </w:rPr>
              <w:t xml:space="preserve">. See </w:t>
            </w:r>
            <w:r w:rsidR="00213A83" w:rsidRPr="005E667F">
              <w:rPr>
                <w:rFonts w:asciiTheme="minorHAnsi" w:hAnsiTheme="minorHAnsi" w:cstheme="minorHAnsi"/>
              </w:rPr>
              <w:t>COR</w:t>
            </w:r>
            <w:r w:rsidR="004430D1" w:rsidRPr="005E667F">
              <w:rPr>
                <w:rFonts w:asciiTheme="minorHAnsi" w:hAnsiTheme="minorHAnsi" w:cstheme="minorHAnsi"/>
              </w:rPr>
              <w:t xml:space="preserve"> at 25338</w:t>
            </w:r>
            <w:r w:rsidR="00072375" w:rsidRPr="005E667F">
              <w:rPr>
                <w:rFonts w:asciiTheme="minorHAnsi" w:hAnsiTheme="minorHAnsi" w:cstheme="minorHAnsi"/>
              </w:rPr>
              <w:t xml:space="preserve">. </w:t>
            </w:r>
          </w:p>
          <w:p w:rsidR="00DD394B" w:rsidRPr="005E667F" w:rsidRDefault="00582C19" w:rsidP="00213A83">
            <w:pPr>
              <w:pStyle w:val="RSBodyText"/>
              <w:rPr>
                <w:rFonts w:asciiTheme="minorHAnsi" w:hAnsiTheme="minorHAnsi" w:cstheme="minorHAnsi"/>
              </w:rPr>
            </w:pPr>
            <w:r w:rsidRPr="005E667F">
              <w:rPr>
                <w:rFonts w:asciiTheme="minorHAnsi" w:hAnsiTheme="minorHAnsi" w:cstheme="minorHAnsi"/>
              </w:rPr>
              <w:t>Offeree must be a producer, processor or commercial user of, or a merchant handling the commodity that is the subject of the commodity option transaction, or the products or by-products thereof, and such offeree is offered or entering into the commodity option transaction solely for purposes related to its business as such. § 32.3(a)(2).</w:t>
            </w:r>
            <w:r w:rsidR="00072375" w:rsidRPr="005E667F">
              <w:rPr>
                <w:rFonts w:asciiTheme="minorHAnsi" w:hAnsiTheme="minorHAnsi" w:cstheme="minorHAnsi"/>
              </w:rPr>
              <w:t xml:space="preserve"> See </w:t>
            </w:r>
            <w:r w:rsidR="00213A83" w:rsidRPr="005E667F">
              <w:rPr>
                <w:rFonts w:asciiTheme="minorHAnsi" w:hAnsiTheme="minorHAnsi" w:cstheme="minorHAnsi"/>
              </w:rPr>
              <w:t>COR</w:t>
            </w:r>
            <w:r w:rsidR="00C35A49" w:rsidRPr="005E667F">
              <w:rPr>
                <w:rFonts w:asciiTheme="minorHAnsi" w:hAnsiTheme="minorHAnsi" w:cstheme="minorHAnsi"/>
              </w:rPr>
              <w:t xml:space="preserve"> at 25338</w:t>
            </w:r>
            <w:r w:rsidR="006E1A56" w:rsidRPr="005E667F">
              <w:rPr>
                <w:rFonts w:asciiTheme="minorHAnsi" w:hAnsiTheme="minorHAnsi" w:cstheme="minorHAnsi"/>
              </w:rPr>
              <w:t>.</w:t>
            </w:r>
            <w:r w:rsidR="00072375" w:rsidRPr="005E667F">
              <w:rPr>
                <w:rFonts w:asciiTheme="minorHAnsi" w:hAnsiTheme="minorHAnsi" w:cstheme="minorHAnsi"/>
              </w:rPr>
              <w:t xml:space="preserve"> </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Acceptable Contract Provisions</w:t>
            </w:r>
          </w:p>
        </w:tc>
        <w:tc>
          <w:tcPr>
            <w:tcW w:w="7848" w:type="dxa"/>
          </w:tcPr>
          <w:p w:rsidR="006E1A56" w:rsidRPr="005E667F" w:rsidRDefault="00582C19" w:rsidP="00582C19">
            <w:pPr>
              <w:pStyle w:val="RSBodyText"/>
              <w:rPr>
                <w:rFonts w:asciiTheme="minorHAnsi" w:hAnsiTheme="minorHAnsi" w:cstheme="minorHAnsi"/>
              </w:rPr>
            </w:pPr>
            <w:r w:rsidRPr="005E667F">
              <w:rPr>
                <w:rFonts w:asciiTheme="minorHAnsi" w:hAnsiTheme="minorHAnsi" w:cstheme="minorHAnsi"/>
              </w:rPr>
              <w:t>The commodity option must be intended to be physically settled, so that, if exercised, the option would result in the sale of an exempt or agricultural commodity for immediate or deferred shipment or delivery. § 32.3(a)(3).</w:t>
            </w:r>
            <w:r w:rsidR="00072375" w:rsidRPr="005E667F">
              <w:rPr>
                <w:rFonts w:asciiTheme="minorHAnsi" w:hAnsiTheme="minorHAnsi" w:cstheme="minorHAnsi"/>
              </w:rPr>
              <w:t xml:space="preserve"> See </w:t>
            </w:r>
            <w:r w:rsidR="00213A83" w:rsidRPr="005E667F">
              <w:rPr>
                <w:rFonts w:asciiTheme="minorHAnsi" w:hAnsiTheme="minorHAnsi" w:cstheme="minorHAnsi"/>
              </w:rPr>
              <w:t>COR</w:t>
            </w:r>
            <w:r w:rsidR="004430D1" w:rsidRPr="005E667F">
              <w:rPr>
                <w:rFonts w:asciiTheme="minorHAnsi" w:hAnsiTheme="minorHAnsi" w:cstheme="minorHAnsi"/>
              </w:rPr>
              <w:t xml:space="preserve"> at 25338</w:t>
            </w:r>
            <w:r w:rsidR="00072375" w:rsidRPr="005E667F">
              <w:rPr>
                <w:rFonts w:asciiTheme="minorHAnsi" w:hAnsiTheme="minorHAnsi" w:cstheme="minorHAnsi"/>
              </w:rPr>
              <w:t xml:space="preserve">. </w:t>
            </w:r>
          </w:p>
          <w:p w:rsidR="006E1A56" w:rsidRPr="005E667F" w:rsidRDefault="00072375" w:rsidP="00582C19">
            <w:pPr>
              <w:pStyle w:val="RSBodyText"/>
              <w:rPr>
                <w:rFonts w:asciiTheme="minorHAnsi" w:hAnsiTheme="minorHAnsi" w:cstheme="minorHAnsi"/>
              </w:rPr>
            </w:pPr>
            <w:r w:rsidRPr="005E667F">
              <w:rPr>
                <w:rFonts w:asciiTheme="minorHAnsi" w:hAnsiTheme="minorHAnsi" w:cstheme="minorHAnsi"/>
              </w:rPr>
              <w:t xml:space="preserve">Note that the interpretation in the PDR that an intangible commodity can be a nonfinancial commodity (which the PDR interpretation characterizes as an exempt or agricultural commodity –not an excluded commodity), is not expressly available for this Interim Final Rule. </w:t>
            </w:r>
          </w:p>
          <w:p w:rsidR="00DD394B" w:rsidRPr="005E667F" w:rsidRDefault="00072375" w:rsidP="005906C6">
            <w:pPr>
              <w:pStyle w:val="RSBodyText"/>
              <w:rPr>
                <w:rFonts w:asciiTheme="minorHAnsi" w:hAnsiTheme="minorHAnsi" w:cstheme="minorHAnsi"/>
              </w:rPr>
            </w:pPr>
            <w:r w:rsidRPr="005E667F">
              <w:rPr>
                <w:rFonts w:asciiTheme="minorHAnsi" w:hAnsiTheme="minorHAnsi" w:cstheme="minorHAnsi"/>
              </w:rPr>
              <w:t xml:space="preserve">Historically, the trade option exemption has not been available for intangible commodities.  This </w:t>
            </w:r>
            <w:r w:rsidR="006E1A56" w:rsidRPr="005E667F">
              <w:rPr>
                <w:rFonts w:asciiTheme="minorHAnsi" w:hAnsiTheme="minorHAnsi" w:cstheme="minorHAnsi"/>
              </w:rPr>
              <w:t xml:space="preserve">may call </w:t>
            </w:r>
            <w:r w:rsidRPr="005E667F">
              <w:rPr>
                <w:rFonts w:asciiTheme="minorHAnsi" w:hAnsiTheme="minorHAnsi" w:cstheme="minorHAnsi"/>
              </w:rPr>
              <w:t xml:space="preserve">into question whether capacity </w:t>
            </w:r>
            <w:r w:rsidR="006E1A56" w:rsidRPr="005E667F">
              <w:rPr>
                <w:rFonts w:asciiTheme="minorHAnsi" w:hAnsiTheme="minorHAnsi" w:cstheme="minorHAnsi"/>
              </w:rPr>
              <w:t xml:space="preserve">or ancillary services </w:t>
            </w:r>
            <w:r w:rsidRPr="005E667F">
              <w:rPr>
                <w:rFonts w:asciiTheme="minorHAnsi" w:hAnsiTheme="minorHAnsi" w:cstheme="minorHAnsi"/>
              </w:rPr>
              <w:t xml:space="preserve">transactions or other similar intangible </w:t>
            </w:r>
            <w:r w:rsidR="00664DE5">
              <w:rPr>
                <w:rFonts w:asciiTheme="minorHAnsi" w:hAnsiTheme="minorHAnsi" w:cstheme="minorHAnsi"/>
              </w:rPr>
              <w:t>commodities, or transactions</w:t>
            </w:r>
            <w:r w:rsidRPr="005E667F">
              <w:rPr>
                <w:rFonts w:asciiTheme="minorHAnsi" w:hAnsiTheme="minorHAnsi" w:cstheme="minorHAnsi"/>
              </w:rPr>
              <w:t xml:space="preserve"> which have option-like characteristics</w:t>
            </w:r>
            <w:r w:rsidR="005906C6">
              <w:rPr>
                <w:rFonts w:asciiTheme="minorHAnsi" w:hAnsiTheme="minorHAnsi" w:cstheme="minorHAnsi"/>
              </w:rPr>
              <w:t>,</w:t>
            </w:r>
            <w:r w:rsidRPr="005E667F">
              <w:rPr>
                <w:rFonts w:asciiTheme="minorHAnsi" w:hAnsiTheme="minorHAnsi" w:cstheme="minorHAnsi"/>
              </w:rPr>
              <w:t xml:space="preserve"> may be “swaps.” Clarification sought in the PDR comment letter. </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Unacceptable Contract Provisions</w:t>
            </w:r>
          </w:p>
        </w:tc>
        <w:tc>
          <w:tcPr>
            <w:tcW w:w="7848" w:type="dxa"/>
          </w:tcPr>
          <w:p w:rsidR="00DD394B" w:rsidRPr="005E667F" w:rsidRDefault="00B21EA0" w:rsidP="006C7F8D">
            <w:pPr>
              <w:pStyle w:val="RSBodyText"/>
              <w:rPr>
                <w:rFonts w:asciiTheme="minorHAnsi" w:hAnsiTheme="minorHAnsi" w:cstheme="minorHAnsi"/>
              </w:rPr>
            </w:pPr>
            <w:r w:rsidRPr="005E667F">
              <w:rPr>
                <w:rFonts w:asciiTheme="minorHAnsi" w:hAnsiTheme="minorHAnsi" w:cstheme="minorHAnsi"/>
              </w:rPr>
              <w:t xml:space="preserve">See preceding row re acceptable contact provisions for comparison. </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Acceptable Intent</w:t>
            </w:r>
          </w:p>
        </w:tc>
        <w:tc>
          <w:tcPr>
            <w:tcW w:w="7848" w:type="dxa"/>
          </w:tcPr>
          <w:p w:rsidR="00DD394B" w:rsidRPr="005E667F" w:rsidRDefault="00131BFE" w:rsidP="006C7F8D">
            <w:pPr>
              <w:pStyle w:val="RSBodyText"/>
              <w:rPr>
                <w:rFonts w:asciiTheme="minorHAnsi" w:hAnsiTheme="minorHAnsi" w:cstheme="minorHAnsi"/>
              </w:rPr>
            </w:pPr>
            <w:r w:rsidRPr="005E667F">
              <w:rPr>
                <w:rFonts w:asciiTheme="minorHAnsi" w:hAnsiTheme="minorHAnsi" w:cstheme="minorHAnsi"/>
              </w:rPr>
              <w:t xml:space="preserve">A party </w:t>
            </w:r>
            <w:r w:rsidR="00BA33AF" w:rsidRPr="005E667F">
              <w:rPr>
                <w:rFonts w:asciiTheme="minorHAnsi" w:hAnsiTheme="minorHAnsi" w:cstheme="minorHAnsi"/>
              </w:rPr>
              <w:t xml:space="preserve">must intend </w:t>
            </w:r>
            <w:r w:rsidRPr="005E667F">
              <w:rPr>
                <w:rFonts w:asciiTheme="minorHAnsi" w:hAnsiTheme="minorHAnsi" w:cstheme="minorHAnsi"/>
              </w:rPr>
              <w:t>the commodity option to be physically settled. A party must enter into the commodity option transaction solely for purposes related to its business</w:t>
            </w:r>
            <w:r w:rsidR="006E1A56" w:rsidRPr="005E667F">
              <w:rPr>
                <w:rFonts w:asciiTheme="minorHAnsi" w:hAnsiTheme="minorHAnsi" w:cstheme="minorHAnsi"/>
              </w:rPr>
              <w:t xml:space="preserve"> as such</w:t>
            </w:r>
            <w:r w:rsidRPr="005E667F">
              <w:rPr>
                <w:rFonts w:asciiTheme="minorHAnsi" w:hAnsiTheme="minorHAnsi" w:cstheme="minorHAnsi"/>
              </w:rPr>
              <w:t xml:space="preserve">. </w:t>
            </w:r>
            <w:r w:rsidR="00685507" w:rsidRPr="005E667F">
              <w:rPr>
                <w:rFonts w:asciiTheme="minorHAnsi" w:hAnsiTheme="minorHAnsi" w:cstheme="minorHAnsi"/>
              </w:rPr>
              <w:t>See Commodity Option Release at 25338</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Unacceptable Intent</w:t>
            </w:r>
          </w:p>
        </w:tc>
        <w:tc>
          <w:tcPr>
            <w:tcW w:w="7848" w:type="dxa"/>
          </w:tcPr>
          <w:p w:rsidR="00DD394B" w:rsidRPr="005E667F" w:rsidRDefault="00B21EA0" w:rsidP="006C7F8D">
            <w:pPr>
              <w:pStyle w:val="RSBodyText"/>
              <w:rPr>
                <w:rFonts w:asciiTheme="minorHAnsi" w:hAnsiTheme="minorHAnsi" w:cstheme="minorHAnsi"/>
              </w:rPr>
            </w:pPr>
            <w:r w:rsidRPr="005E667F">
              <w:rPr>
                <w:rFonts w:asciiTheme="minorHAnsi" w:hAnsiTheme="minorHAnsi" w:cstheme="minorHAnsi"/>
              </w:rPr>
              <w:t xml:space="preserve">See preceding row re acceptable intent for comparison. </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Post-Contract Events that Affect Safe Harbor</w:t>
            </w:r>
          </w:p>
        </w:tc>
        <w:tc>
          <w:tcPr>
            <w:tcW w:w="7848" w:type="dxa"/>
          </w:tcPr>
          <w:p w:rsidR="00DD394B" w:rsidRPr="005E667F" w:rsidRDefault="009F184C" w:rsidP="009F184C">
            <w:pPr>
              <w:pStyle w:val="RSBodyText"/>
              <w:rPr>
                <w:rFonts w:asciiTheme="minorHAnsi" w:hAnsiTheme="minorHAnsi" w:cstheme="minorHAnsi"/>
              </w:rPr>
            </w:pPr>
            <w:r w:rsidRPr="005E667F">
              <w:rPr>
                <w:rFonts w:asciiTheme="minorHAnsi" w:hAnsiTheme="minorHAnsi" w:cstheme="minorHAnsi"/>
              </w:rPr>
              <w:t>There are various recordkeeping and reporting requirements wi</w:t>
            </w:r>
            <w:r w:rsidR="00181CB2" w:rsidRPr="005E667F">
              <w:rPr>
                <w:rFonts w:asciiTheme="minorHAnsi" w:hAnsiTheme="minorHAnsi" w:cstheme="minorHAnsi"/>
              </w:rPr>
              <w:t>th respect to trade options. It is  not clear how</w:t>
            </w:r>
            <w:r w:rsidRPr="005E667F">
              <w:rPr>
                <w:rFonts w:asciiTheme="minorHAnsi" w:hAnsiTheme="minorHAnsi" w:cstheme="minorHAnsi"/>
              </w:rPr>
              <w:t xml:space="preserve"> the CFTC </w:t>
            </w:r>
            <w:r w:rsidR="00181CB2" w:rsidRPr="005E667F">
              <w:rPr>
                <w:rFonts w:asciiTheme="minorHAnsi" w:hAnsiTheme="minorHAnsi" w:cstheme="minorHAnsi"/>
              </w:rPr>
              <w:t>will decide</w:t>
            </w:r>
            <w:r w:rsidRPr="005E667F">
              <w:rPr>
                <w:rFonts w:asciiTheme="minorHAnsi" w:hAnsiTheme="minorHAnsi" w:cstheme="minorHAnsi"/>
              </w:rPr>
              <w:t xml:space="preserve"> to address inadequate recordkeeping/reporting</w:t>
            </w:r>
            <w:r w:rsidR="00181CB2" w:rsidRPr="005E667F">
              <w:rPr>
                <w:rFonts w:asciiTheme="minorHAnsi" w:hAnsiTheme="minorHAnsi" w:cstheme="minorHAnsi"/>
              </w:rPr>
              <w:t xml:space="preserve"> and w</w:t>
            </w:r>
            <w:r w:rsidR="00445A66" w:rsidRPr="005E667F">
              <w:rPr>
                <w:rFonts w:asciiTheme="minorHAnsi" w:hAnsiTheme="minorHAnsi" w:cstheme="minorHAnsi"/>
              </w:rPr>
              <w:t>hether such inadequate record</w:t>
            </w:r>
            <w:r w:rsidR="00181CB2" w:rsidRPr="005E667F">
              <w:rPr>
                <w:rFonts w:asciiTheme="minorHAnsi" w:hAnsiTheme="minorHAnsi" w:cstheme="minorHAnsi"/>
              </w:rPr>
              <w:t>keeping/reporting</w:t>
            </w:r>
            <w:r w:rsidRPr="005E667F">
              <w:rPr>
                <w:rFonts w:asciiTheme="minorHAnsi" w:hAnsiTheme="minorHAnsi" w:cstheme="minorHAnsi"/>
              </w:rPr>
              <w:t xml:space="preserve"> could affect the safe harbor. </w:t>
            </w:r>
            <w:r w:rsidR="00337A2F" w:rsidRPr="005E667F">
              <w:rPr>
                <w:rFonts w:asciiTheme="minorHAnsi" w:hAnsiTheme="minorHAnsi" w:cstheme="minorHAnsi"/>
              </w:rPr>
              <w:t xml:space="preserve">Commodity Option Release at 25327. </w:t>
            </w:r>
          </w:p>
        </w:tc>
      </w:tr>
      <w:tr w:rsidR="00DD394B" w:rsidRPr="005E667F" w:rsidTr="006C7F8D">
        <w:tc>
          <w:tcPr>
            <w:tcW w:w="1728" w:type="dxa"/>
            <w:shd w:val="pct12" w:color="auto" w:fill="auto"/>
          </w:tcPr>
          <w:p w:rsidR="00DD394B" w:rsidRPr="005E667F" w:rsidRDefault="00DD394B" w:rsidP="006C7F8D">
            <w:pPr>
              <w:pStyle w:val="RSBodyText"/>
              <w:rPr>
                <w:rFonts w:asciiTheme="minorHAnsi" w:hAnsiTheme="minorHAnsi" w:cstheme="minorHAnsi"/>
                <w:b/>
              </w:rPr>
            </w:pPr>
            <w:r w:rsidRPr="005E667F">
              <w:rPr>
                <w:rFonts w:asciiTheme="minorHAnsi" w:hAnsiTheme="minorHAnsi" w:cstheme="minorHAnsi"/>
                <w:b/>
              </w:rPr>
              <w:t>Acceptable Contract Examples</w:t>
            </w:r>
          </w:p>
        </w:tc>
        <w:tc>
          <w:tcPr>
            <w:tcW w:w="7848" w:type="dxa"/>
          </w:tcPr>
          <w:p w:rsidR="00DD394B" w:rsidRPr="005E667F" w:rsidRDefault="00B21EA0" w:rsidP="006C7F8D">
            <w:pPr>
              <w:pStyle w:val="RSBodyText"/>
              <w:rPr>
                <w:rFonts w:asciiTheme="minorHAnsi" w:hAnsiTheme="minorHAnsi" w:cstheme="minorHAnsi"/>
              </w:rPr>
            </w:pPr>
            <w:r w:rsidRPr="005E667F">
              <w:rPr>
                <w:rFonts w:asciiTheme="minorHAnsi" w:hAnsiTheme="minorHAnsi" w:cstheme="minorHAnsi"/>
              </w:rPr>
              <w:t>No examples</w:t>
            </w:r>
            <w:r w:rsidR="00181CB2" w:rsidRPr="005E667F">
              <w:rPr>
                <w:rFonts w:asciiTheme="minorHAnsi" w:hAnsiTheme="minorHAnsi" w:cstheme="minorHAnsi"/>
              </w:rPr>
              <w:t xml:space="preserve"> provided.</w:t>
            </w:r>
          </w:p>
        </w:tc>
      </w:tr>
    </w:tbl>
    <w:p w:rsidR="000C4EB8" w:rsidRPr="005E667F" w:rsidRDefault="000C4EB8" w:rsidP="00DD394B">
      <w:pPr>
        <w:pStyle w:val="RSBodyText"/>
        <w:rPr>
          <w:rFonts w:asciiTheme="minorHAnsi" w:hAnsiTheme="minorHAnsi" w:cstheme="minorHAnsi"/>
        </w:rPr>
      </w:pPr>
    </w:p>
    <w:p w:rsidR="0082335F" w:rsidRDefault="0082335F">
      <w:pPr>
        <w:autoSpaceDE w:val="0"/>
        <w:autoSpaceDN w:val="0"/>
        <w:adjustRightInd w:val="0"/>
        <w:rPr>
          <w:rFonts w:ascii="CandidaStd-Roman" w:hAnsi="CandidaStd-Roman" w:cs="CandidaStd-Roman"/>
          <w:sz w:val="19"/>
          <w:szCs w:val="19"/>
        </w:rPr>
      </w:pPr>
    </w:p>
    <w:p w:rsidR="000C4EB8" w:rsidRPr="005E667F" w:rsidRDefault="000C4EB8" w:rsidP="00DE155F">
      <w:pPr>
        <w:pStyle w:val="Heading1"/>
      </w:pPr>
      <w:r w:rsidRPr="005E667F">
        <w:br w:type="page"/>
      </w:r>
    </w:p>
    <w:p w:rsidR="00DD394B" w:rsidRPr="005E667F" w:rsidRDefault="000C4EB8" w:rsidP="00FC3B15">
      <w:pPr>
        <w:pStyle w:val="Heading1"/>
        <w:jc w:val="both"/>
        <w:rPr>
          <w:rFonts w:asciiTheme="minorHAnsi" w:hAnsiTheme="minorHAnsi" w:cstheme="minorHAnsi"/>
          <w:b/>
          <w:szCs w:val="24"/>
        </w:rPr>
      </w:pPr>
      <w:r w:rsidRPr="005E667F">
        <w:rPr>
          <w:rFonts w:asciiTheme="minorHAnsi" w:hAnsiTheme="minorHAnsi" w:cstheme="minorHAnsi"/>
          <w:szCs w:val="24"/>
        </w:rPr>
        <w:t xml:space="preserve"> </w:t>
      </w:r>
      <w:r w:rsidRPr="005E667F">
        <w:rPr>
          <w:rFonts w:asciiTheme="minorHAnsi" w:hAnsiTheme="minorHAnsi" w:cstheme="minorHAnsi"/>
          <w:b/>
          <w:szCs w:val="24"/>
        </w:rPr>
        <w:t>Spot transactions in physical commodities for immediate delivery are no</w:t>
      </w:r>
      <w:r w:rsidR="005E667F" w:rsidRPr="005E667F">
        <w:rPr>
          <w:rFonts w:asciiTheme="minorHAnsi" w:hAnsiTheme="minorHAnsi" w:cstheme="minorHAnsi"/>
          <w:b/>
          <w:szCs w:val="24"/>
        </w:rPr>
        <w:t>t “swaps” due to 1a(47)(A)(iii). Conveys current ownership interest in asset or liability</w:t>
      </w:r>
      <w:r w:rsidRPr="005E667F">
        <w:rPr>
          <w:rFonts w:asciiTheme="minorHAnsi" w:hAnsiTheme="minorHAnsi" w:cstheme="minorHAnsi"/>
          <w:b/>
          <w:szCs w:val="24"/>
        </w:rPr>
        <w:t xml:space="preserve">–Consider </w:t>
      </w:r>
      <w:r w:rsidR="00F81036">
        <w:rPr>
          <w:rFonts w:asciiTheme="minorHAnsi" w:hAnsiTheme="minorHAnsi" w:cstheme="minorHAnsi"/>
          <w:b/>
          <w:szCs w:val="24"/>
        </w:rPr>
        <w:t xml:space="preserve">PDR </w:t>
      </w:r>
      <w:r w:rsidR="005E667F" w:rsidRPr="005E667F">
        <w:rPr>
          <w:rFonts w:asciiTheme="minorHAnsi" w:hAnsiTheme="minorHAnsi" w:cstheme="minorHAnsi"/>
          <w:b/>
          <w:szCs w:val="24"/>
        </w:rPr>
        <w:t>FN</w:t>
      </w:r>
      <w:r w:rsidRPr="005E667F">
        <w:rPr>
          <w:rFonts w:asciiTheme="minorHAnsi" w:hAnsiTheme="minorHAnsi" w:cstheme="minorHAnsi"/>
          <w:b/>
          <w:szCs w:val="24"/>
        </w:rPr>
        <w:t xml:space="preserve"> 236 re a physical exchange. </w:t>
      </w:r>
      <w:r w:rsidR="00F81036" w:rsidRPr="00F81036">
        <w:rPr>
          <w:rFonts w:asciiTheme="minorHAnsi" w:hAnsiTheme="minorHAnsi" w:cstheme="minorHAnsi"/>
          <w:b/>
        </w:rPr>
        <w:t xml:space="preserve">Spot transactions usually </w:t>
      </w:r>
      <w:r w:rsidR="00FC3B15">
        <w:rPr>
          <w:rFonts w:asciiTheme="minorHAnsi" w:hAnsiTheme="minorHAnsi" w:cstheme="minorHAnsi"/>
          <w:b/>
        </w:rPr>
        <w:t>settle (go to delivery)</w:t>
      </w:r>
      <w:r w:rsidR="00F81036" w:rsidRPr="00F81036">
        <w:rPr>
          <w:rFonts w:asciiTheme="minorHAnsi" w:hAnsiTheme="minorHAnsi" w:cstheme="minorHAnsi"/>
          <w:b/>
        </w:rPr>
        <w:t xml:space="preserve"> within a few days of the trade date.  </w:t>
      </w:r>
      <w:r w:rsidR="00FC3B15">
        <w:rPr>
          <w:rFonts w:asciiTheme="minorHAnsi" w:hAnsiTheme="minorHAnsi" w:cstheme="minorHAnsi"/>
          <w:b/>
        </w:rPr>
        <w:t xml:space="preserve">However, the CFTC acknowledges that under prevailing cash market practices, [spot] transactions in crude oil and sugar called for delivery in 30 and 75 days, respectively, while foreign currency spot transactions settle in 2 days.  </w:t>
      </w:r>
      <w:r w:rsidR="00F81036" w:rsidRPr="00F81036">
        <w:rPr>
          <w:rFonts w:asciiTheme="minorHAnsi" w:hAnsiTheme="minorHAnsi" w:cstheme="minorHAnsi"/>
          <w:b/>
        </w:rPr>
        <w:t>See FN 41, COR at 25326.</w:t>
      </w:r>
    </w:p>
    <w:p w:rsidR="008D3C55" w:rsidRPr="005E667F" w:rsidRDefault="008D3C55" w:rsidP="00DD394B">
      <w:pPr>
        <w:pStyle w:val="RSBodyText"/>
        <w:rPr>
          <w:rFonts w:asciiTheme="minorHAnsi" w:hAnsiTheme="minorHAnsi" w:cstheme="minorHAnsi"/>
          <w:b/>
        </w:rPr>
      </w:pPr>
    </w:p>
    <w:p w:rsidR="000C4EB8" w:rsidRPr="005E667F" w:rsidRDefault="000C4EB8" w:rsidP="00FC3B15">
      <w:pPr>
        <w:pStyle w:val="Heading1"/>
        <w:jc w:val="both"/>
        <w:rPr>
          <w:rFonts w:asciiTheme="minorHAnsi" w:hAnsiTheme="minorHAnsi" w:cstheme="minorHAnsi"/>
          <w:b/>
          <w:szCs w:val="24"/>
        </w:rPr>
      </w:pPr>
      <w:r w:rsidRPr="005E667F">
        <w:rPr>
          <w:rFonts w:asciiTheme="minorHAnsi" w:hAnsiTheme="minorHAnsi" w:cstheme="minorHAnsi"/>
          <w:b/>
          <w:szCs w:val="24"/>
        </w:rPr>
        <w:t xml:space="preserve">Futures contracts or options on futures contracts </w:t>
      </w:r>
      <w:r w:rsidR="00CD0B09" w:rsidRPr="005E667F">
        <w:rPr>
          <w:rFonts w:asciiTheme="minorHAnsi" w:hAnsiTheme="minorHAnsi" w:cstheme="minorHAnsi"/>
          <w:b/>
          <w:szCs w:val="24"/>
        </w:rPr>
        <w:t xml:space="preserve">are not “swaps” </w:t>
      </w:r>
      <w:r w:rsidRPr="005E667F">
        <w:rPr>
          <w:rFonts w:asciiTheme="minorHAnsi" w:hAnsiTheme="minorHAnsi" w:cstheme="minorHAnsi"/>
          <w:b/>
          <w:szCs w:val="24"/>
        </w:rPr>
        <w:t>(CEA 1a(47)(B)(i)</w:t>
      </w:r>
      <w:r w:rsidR="00CD0B09" w:rsidRPr="005E667F">
        <w:rPr>
          <w:rFonts w:asciiTheme="minorHAnsi" w:hAnsiTheme="minorHAnsi" w:cstheme="minorHAnsi"/>
          <w:b/>
          <w:szCs w:val="24"/>
        </w:rPr>
        <w:t>.</w:t>
      </w:r>
    </w:p>
    <w:p w:rsidR="000C4EB8" w:rsidRPr="005E667F" w:rsidRDefault="000C4EB8" w:rsidP="00DD394B">
      <w:pPr>
        <w:pStyle w:val="RSBodyText"/>
        <w:rPr>
          <w:rFonts w:asciiTheme="minorHAnsi" w:hAnsiTheme="minorHAnsi" w:cstheme="minorHAnsi"/>
          <w:b/>
        </w:rPr>
      </w:pPr>
    </w:p>
    <w:p w:rsidR="000C4EB8" w:rsidRPr="005E667F" w:rsidRDefault="00CD0B09" w:rsidP="00FC3B15">
      <w:pPr>
        <w:pStyle w:val="Heading1"/>
        <w:jc w:val="both"/>
        <w:rPr>
          <w:rFonts w:asciiTheme="minorHAnsi" w:hAnsiTheme="minorHAnsi" w:cstheme="minorHAnsi"/>
          <w:b/>
          <w:szCs w:val="24"/>
        </w:rPr>
      </w:pPr>
      <w:r w:rsidRPr="005E667F">
        <w:rPr>
          <w:rFonts w:asciiTheme="minorHAnsi" w:hAnsiTheme="minorHAnsi" w:cstheme="minorHAnsi"/>
          <w:b/>
          <w:szCs w:val="24"/>
        </w:rPr>
        <w:t xml:space="preserve">Note that commodity options, in general, </w:t>
      </w:r>
      <w:r w:rsidRPr="005E667F">
        <w:rPr>
          <w:rFonts w:asciiTheme="minorHAnsi" w:hAnsiTheme="minorHAnsi" w:cstheme="minorHAnsi"/>
          <w:b/>
          <w:szCs w:val="24"/>
          <w:u w:val="single"/>
        </w:rPr>
        <w:t>are</w:t>
      </w:r>
      <w:r w:rsidRPr="005E667F">
        <w:rPr>
          <w:rFonts w:asciiTheme="minorHAnsi" w:hAnsiTheme="minorHAnsi" w:cstheme="minorHAnsi"/>
          <w:b/>
          <w:szCs w:val="24"/>
        </w:rPr>
        <w:t xml:space="preserve"> swaps under CEA 1a(47)(A)</w:t>
      </w:r>
      <w:r w:rsidR="00FC3B15">
        <w:rPr>
          <w:rFonts w:asciiTheme="minorHAnsi" w:hAnsiTheme="minorHAnsi" w:cstheme="minorHAnsi"/>
          <w:b/>
          <w:szCs w:val="24"/>
        </w:rPr>
        <w:t>. F</w:t>
      </w:r>
      <w:r w:rsidRPr="005E667F">
        <w:rPr>
          <w:rFonts w:asciiTheme="minorHAnsi" w:hAnsiTheme="minorHAnsi" w:cstheme="minorHAnsi"/>
          <w:b/>
          <w:szCs w:val="24"/>
        </w:rPr>
        <w:t>or example, o</w:t>
      </w:r>
      <w:r w:rsidR="000C4EB8" w:rsidRPr="005E667F">
        <w:rPr>
          <w:rFonts w:asciiTheme="minorHAnsi" w:hAnsiTheme="minorHAnsi" w:cstheme="minorHAnsi"/>
          <w:b/>
          <w:szCs w:val="24"/>
        </w:rPr>
        <w:t xml:space="preserve">ptions where the intention of the parties is to settle financially, or </w:t>
      </w:r>
      <w:r w:rsidR="0093065A" w:rsidRPr="005E667F">
        <w:rPr>
          <w:rFonts w:asciiTheme="minorHAnsi" w:hAnsiTheme="minorHAnsi" w:cstheme="minorHAnsi"/>
          <w:b/>
          <w:szCs w:val="24"/>
        </w:rPr>
        <w:t xml:space="preserve">where </w:t>
      </w:r>
      <w:r w:rsidR="000C4EB8" w:rsidRPr="005E667F">
        <w:rPr>
          <w:rFonts w:asciiTheme="minorHAnsi" w:hAnsiTheme="minorHAnsi" w:cstheme="minorHAnsi"/>
          <w:b/>
          <w:szCs w:val="24"/>
        </w:rPr>
        <w:t>one party or the other has an option to settle financially (or “cash settle”) rather than perform by physical settlement or delivery.</w:t>
      </w:r>
      <w:r w:rsidRPr="005E667F">
        <w:rPr>
          <w:rFonts w:asciiTheme="minorHAnsi" w:hAnsiTheme="minorHAnsi" w:cstheme="minorHAnsi"/>
          <w:b/>
          <w:szCs w:val="24"/>
        </w:rPr>
        <w:t xml:space="preserve"> The CFTC characterizes this as “optionality as to delivery” or “optionality targeting the delivery term.”  Essentially, if delivery is optional and both parties would be indifferent </w:t>
      </w:r>
      <w:r w:rsidR="00497F82">
        <w:rPr>
          <w:rFonts w:asciiTheme="minorHAnsi" w:hAnsiTheme="minorHAnsi" w:cstheme="minorHAnsi"/>
          <w:b/>
          <w:szCs w:val="24"/>
        </w:rPr>
        <w:t>as to whether</w:t>
      </w:r>
      <w:r w:rsidR="00FC3B15">
        <w:rPr>
          <w:rFonts w:asciiTheme="minorHAnsi" w:hAnsiTheme="minorHAnsi" w:cstheme="minorHAnsi"/>
          <w:b/>
          <w:szCs w:val="24"/>
        </w:rPr>
        <w:t xml:space="preserve"> the person delivering delivers</w:t>
      </w:r>
      <w:r w:rsidR="00BB6711" w:rsidRPr="005E667F">
        <w:rPr>
          <w:rFonts w:asciiTheme="minorHAnsi" w:hAnsiTheme="minorHAnsi" w:cstheme="minorHAnsi"/>
          <w:b/>
          <w:szCs w:val="24"/>
        </w:rPr>
        <w:t xml:space="preserve"> cash or a futures contract rather than the nonfinancial commodity, such a “financial” </w:t>
      </w:r>
      <w:r w:rsidR="00FC3B15">
        <w:rPr>
          <w:rFonts w:asciiTheme="minorHAnsi" w:hAnsiTheme="minorHAnsi" w:cstheme="minorHAnsi"/>
          <w:b/>
          <w:szCs w:val="24"/>
        </w:rPr>
        <w:t xml:space="preserve">commodity </w:t>
      </w:r>
      <w:r w:rsidR="00BB6711" w:rsidRPr="005E667F">
        <w:rPr>
          <w:rFonts w:asciiTheme="minorHAnsi" w:hAnsiTheme="minorHAnsi" w:cstheme="minorHAnsi"/>
          <w:b/>
          <w:szCs w:val="24"/>
        </w:rPr>
        <w:t>option is a “swap.”</w:t>
      </w:r>
      <w:r w:rsidR="00B21EA0" w:rsidRPr="005E667F">
        <w:rPr>
          <w:rFonts w:asciiTheme="minorHAnsi" w:hAnsiTheme="minorHAnsi" w:cstheme="minorHAnsi"/>
          <w:b/>
          <w:szCs w:val="24"/>
        </w:rPr>
        <w:t xml:space="preserve"> PDR at 48240. </w:t>
      </w:r>
    </w:p>
    <w:p w:rsidR="00DD394B" w:rsidRPr="005E667F" w:rsidRDefault="00DD394B" w:rsidP="00582C19">
      <w:pPr>
        <w:rPr>
          <w:rFonts w:asciiTheme="minorHAnsi" w:hAnsiTheme="minorHAnsi" w:cstheme="minorHAnsi"/>
        </w:rPr>
      </w:pPr>
    </w:p>
    <w:sectPr w:rsidR="00DD394B" w:rsidRPr="005E667F" w:rsidSect="00DD39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731" w:rsidRDefault="00455731" w:rsidP="00FA2B37">
      <w:r>
        <w:separator/>
      </w:r>
    </w:p>
  </w:endnote>
  <w:endnote w:type="continuationSeparator" w:id="0">
    <w:p w:rsidR="00455731" w:rsidRDefault="00455731" w:rsidP="00FA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ndidaStd-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E5" w:rsidRDefault="00664D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E5" w:rsidRDefault="00664DE5" w:rsidP="00FA2B37">
    <w:pPr>
      <w:pStyle w:val="Footer"/>
    </w:pPr>
    <w:r w:rsidRPr="00FA2B37">
      <w:tab/>
    </w:r>
    <w:r>
      <w:t xml:space="preserve">- </w:t>
    </w:r>
    <w:r>
      <w:fldChar w:fldCharType="begin"/>
    </w:r>
    <w:r>
      <w:instrText xml:space="preserve"> PAGE   \* MERGEFORMAT </w:instrText>
    </w:r>
    <w:r>
      <w:fldChar w:fldCharType="separate"/>
    </w:r>
    <w:r w:rsidR="00177DAD">
      <w:rPr>
        <w:noProof/>
      </w:rPr>
      <w:t>2</w:t>
    </w:r>
    <w:r>
      <w:rPr>
        <w:noProof/>
      </w:rPr>
      <w:fldChar w:fldCharType="end"/>
    </w:r>
    <w:r>
      <w:rPr>
        <w:noProof/>
      </w:rPr>
      <w:t xml:space="preserve"> -</w:t>
    </w:r>
    <w:r>
      <w:rPr>
        <w:noProof/>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E5" w:rsidRPr="00AA0ADE" w:rsidRDefault="00664DE5" w:rsidP="00AA0ADE">
    <w:pPr>
      <w:pStyle w:val="Footer"/>
    </w:pPr>
    <w:r>
      <w:tab/>
    </w:r>
    <w:r>
      <w:tab/>
    </w:r>
    <w:r w:rsidRPr="00AA0ADE">
      <w:rPr>
        <w:rStyle w:val="DocID"/>
      </w:rPr>
      <w:fldChar w:fldCharType="begin"/>
    </w:r>
    <w:r w:rsidRPr="00AA0ADE">
      <w:rPr>
        <w:rStyle w:val="DocID"/>
      </w:rPr>
      <w:instrText xml:space="preserve"> DOCPROPERTY "DocID" \* MERGEFORMAT </w:instrText>
    </w:r>
    <w:r w:rsidRPr="00AA0ADE">
      <w:rPr>
        <w:rStyle w:val="DocID"/>
      </w:rPr>
      <w:fldChar w:fldCharType="separate"/>
    </w:r>
    <w:r w:rsidRPr="00AA0ADE">
      <w:rPr>
        <w:rStyle w:val="DocID"/>
      </w:rPr>
      <w:t>US_ACTIVE-110542096.6-330245-00001</w:t>
    </w:r>
    <w:r w:rsidRPr="00AA0ADE">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731" w:rsidRDefault="00455731" w:rsidP="00FA2B37">
      <w:r>
        <w:separator/>
      </w:r>
    </w:p>
  </w:footnote>
  <w:footnote w:type="continuationSeparator" w:id="0">
    <w:p w:rsidR="00455731" w:rsidRDefault="00455731" w:rsidP="00FA2B37">
      <w:r>
        <w:continuationSeparator/>
      </w:r>
    </w:p>
  </w:footnote>
  <w:footnote w:id="1">
    <w:p w:rsidR="00664DE5" w:rsidRDefault="00664DE5">
      <w:pPr>
        <w:pStyle w:val="FootnoteText"/>
      </w:pPr>
      <w:r>
        <w:rPr>
          <w:rStyle w:val="FootnoteReference"/>
        </w:rPr>
        <w:footnoteRef/>
      </w:r>
      <w:r>
        <w:t xml:space="preserve"> See, for example, footnote 14, which references a CFTC Office of General Counsel publication on November 14, 2012.</w:t>
      </w:r>
    </w:p>
  </w:footnote>
  <w:footnote w:id="2">
    <w:p w:rsidR="00664DE5" w:rsidRDefault="00664DE5" w:rsidP="00292A68">
      <w:pPr>
        <w:pStyle w:val="FootnoteText"/>
      </w:pPr>
      <w:r>
        <w:rPr>
          <w:rStyle w:val="FootnoteReference"/>
        </w:rPr>
        <w:footnoteRef/>
      </w:r>
      <w:r>
        <w:t xml:space="preserve"> Not-For-Profit Electric Utilities Order </w:t>
      </w:r>
      <w:r w:rsidRPr="005E667F">
        <w:rPr>
          <w:rFonts w:asciiTheme="minorHAnsi" w:hAnsiTheme="minorHAnsi" w:cstheme="minorHAnsi"/>
        </w:rPr>
        <w:t xml:space="preserve">77 Fed. Reg. </w:t>
      </w:r>
      <w:r>
        <w:rPr>
          <w:rFonts w:asciiTheme="minorHAnsi" w:hAnsiTheme="minorHAnsi" w:cstheme="minorHAnsi"/>
        </w:rPr>
        <w:t>50998 (August 23</w:t>
      </w:r>
      <w:r w:rsidRPr="005E667F">
        <w:rPr>
          <w:rFonts w:asciiTheme="minorHAnsi" w:hAnsiTheme="minorHAnsi" w:cstheme="minorHAnsi"/>
        </w:rPr>
        <w:t>, 2012)</w:t>
      </w:r>
      <w:r>
        <w:rPr>
          <w:rFonts w:asciiTheme="minorHAnsi" w:hAnsiTheme="minorHAnsi" w:cstheme="minorHAnsi"/>
        </w:rPr>
        <w:t xml:space="preserve"> (the “Electrics NFP Order”).  Note that the Proposed NFP Electrics Order is to be finalized by the CFTC.  In the interim period, a no-action letter has been issued based on the Application for a 4(c)(6) Exemption Order, not based on the Proposed Order.</w:t>
      </w:r>
    </w:p>
  </w:footnote>
  <w:footnote w:id="3">
    <w:p w:rsidR="00664DE5" w:rsidRDefault="00664DE5" w:rsidP="00292A68">
      <w:pPr>
        <w:pStyle w:val="FootnoteText"/>
      </w:pPr>
      <w:r>
        <w:rPr>
          <w:rStyle w:val="FootnoteReference"/>
        </w:rPr>
        <w:footnoteRef/>
      </w:r>
      <w:r>
        <w:t xml:space="preserve">RTO Exemption Order </w:t>
      </w:r>
      <w:r w:rsidRPr="005E667F">
        <w:rPr>
          <w:rFonts w:asciiTheme="minorHAnsi" w:hAnsiTheme="minorHAnsi" w:cstheme="minorHAnsi"/>
        </w:rPr>
        <w:t xml:space="preserve">77 Fed. Reg. </w:t>
      </w:r>
      <w:r>
        <w:rPr>
          <w:rFonts w:asciiTheme="minorHAnsi" w:hAnsiTheme="minorHAnsi" w:cstheme="minorHAnsi"/>
        </w:rPr>
        <w:t>52138 (August 28</w:t>
      </w:r>
      <w:r w:rsidRPr="005E667F">
        <w:rPr>
          <w:rFonts w:asciiTheme="minorHAnsi" w:hAnsiTheme="minorHAnsi" w:cstheme="minorHAnsi"/>
        </w:rPr>
        <w:t>, 2012)</w:t>
      </w:r>
      <w:r>
        <w:rPr>
          <w:rFonts w:asciiTheme="minorHAnsi" w:hAnsiTheme="minorHAnsi" w:cstheme="minorHAnsi"/>
        </w:rPr>
        <w:t xml:space="preserve"> (the “Proposed RTO Order”).  Note that the Proposed RTO Order is being finalized by the CFTC.  In the interim, a no-action letter has been issued based on the Proposed Order, without the conditions precedent having been met.</w:t>
      </w:r>
    </w:p>
  </w:footnote>
  <w:footnote w:id="4">
    <w:p w:rsidR="00664DE5" w:rsidRDefault="00664DE5" w:rsidP="00DD394B">
      <w:pPr>
        <w:pStyle w:val="FootnoteText"/>
      </w:pPr>
      <w:r>
        <w:rPr>
          <w:rStyle w:val="FootnoteReference"/>
        </w:rPr>
        <w:footnoteRef/>
      </w:r>
      <w:r>
        <w:t xml:space="preserve"> Note that the </w:t>
      </w:r>
      <w:r w:rsidRPr="00FA1926">
        <w:rPr>
          <w:u w:val="single"/>
        </w:rPr>
        <w:t>statute</w:t>
      </w:r>
      <w:r>
        <w:t xml:space="preserve"> provides an exclusion from the term “swap” for a “sale of a nonfinancial commodity…for deferred shipment or delivery, so long as the transaction is intended to be physically settled.”  </w:t>
      </w:r>
      <w:r w:rsidRPr="004737D1">
        <w:rPr>
          <w:i/>
          <w:u w:val="single"/>
        </w:rPr>
        <w:t>See</w:t>
      </w:r>
      <w:r>
        <w:t xml:space="preserve"> Section 1a(47)(B)(ii) of the Commodity Exchange Act, enacted as Section 721(a)(21) of the Dodd-Frank Act.</w:t>
      </w:r>
    </w:p>
    <w:p w:rsidR="00664DE5" w:rsidRDefault="00664DE5" w:rsidP="00DD394B">
      <w:pPr>
        <w:pStyle w:val="FootnoteText"/>
      </w:pPr>
      <w:r>
        <w:t>II.B.2(a) and (b) of Products Definition Release.</w:t>
      </w:r>
    </w:p>
  </w:footnote>
  <w:footnote w:id="5">
    <w:p w:rsidR="00664DE5" w:rsidRDefault="00664DE5">
      <w:pPr>
        <w:pStyle w:val="FootnoteText"/>
      </w:pPr>
      <w:r>
        <w:rPr>
          <w:rStyle w:val="FootnoteReference"/>
        </w:rPr>
        <w:footnoteRef/>
      </w:r>
      <w:r>
        <w:t xml:space="preserve"> The PDR does not contain a definition of the term “book-out” but the implication is that, after the forward contract is executed, the parties agree in a subsequent, separately- negotiated agreement to cancel or extinguish or otherwise waive or forego physical delivery and receipt of the commodity. Note that in the energy industry, market participants in certain regions may use the term colloquially, or in tariffs or agreements, to mean something different. See WSPP Agreement.</w:t>
      </w:r>
    </w:p>
  </w:footnote>
  <w:footnote w:id="6">
    <w:p w:rsidR="00664DE5" w:rsidRDefault="00664DE5">
      <w:pPr>
        <w:pStyle w:val="FootnoteText"/>
      </w:pPr>
      <w:r>
        <w:rPr>
          <w:rStyle w:val="FootnoteReference"/>
        </w:rPr>
        <w:footnoteRef/>
      </w:r>
      <w:r>
        <w:t xml:space="preserve"> The term “confirmation” is not defined in the PDR. However, in a rule published </w:t>
      </w:r>
      <w:r w:rsidRPr="00546E56">
        <w:rPr>
          <w:u w:val="single"/>
        </w:rPr>
        <w:t>subsequent</w:t>
      </w:r>
      <w:r>
        <w:t xml:space="preserve"> to the PDR (the final Adaption Rules, 77 Fed Reg. 66288 (November 2, 2012), a new definition of “confirmation” may raise additional issues if a “swap dealer” or “major swap participant” is a party to a non -financial commodity forward that is subject to a “book out.” </w:t>
      </w:r>
    </w:p>
  </w:footnote>
  <w:footnote w:id="7">
    <w:p w:rsidR="00664DE5" w:rsidRDefault="00664DE5" w:rsidP="00EB182C">
      <w:pPr>
        <w:pStyle w:val="FootnoteText"/>
      </w:pPr>
      <w:r>
        <w:rPr>
          <w:rStyle w:val="FootnoteReference"/>
        </w:rPr>
        <w:footnoteRef/>
      </w:r>
      <w:r>
        <w:t xml:space="preserve"> II.B.2(b)(ii) of Products Definition Release.</w:t>
      </w:r>
    </w:p>
  </w:footnote>
  <w:footnote w:id="8">
    <w:p w:rsidR="00664DE5" w:rsidRDefault="00664DE5" w:rsidP="00EB182C">
      <w:pPr>
        <w:pStyle w:val="FootnoteText"/>
      </w:pPr>
      <w:r>
        <w:rPr>
          <w:rStyle w:val="FootnoteReference"/>
        </w:rPr>
        <w:footnoteRef/>
      </w:r>
      <w:r>
        <w:t xml:space="preserve"> II.B.2(b)(ii) of Products Definition Release. Note: no definition of the term “embedded volumetric optionality.” This regulatory “safe harbor” is of limited value due to ambiguities pointed out in energy industry comments on PDR.</w:t>
      </w:r>
    </w:p>
  </w:footnote>
  <w:footnote w:id="9">
    <w:p w:rsidR="00664DE5" w:rsidRDefault="00664DE5">
      <w:pPr>
        <w:pStyle w:val="FootnoteText"/>
      </w:pPr>
      <w:r>
        <w:rPr>
          <w:rStyle w:val="FootnoteReference"/>
        </w:rPr>
        <w:footnoteRef/>
      </w:r>
      <w:r>
        <w:t xml:space="preserve"> This is not identified in the CFTC’s PDR as a separate regulatory “safe harbor.”  Rather,  these contracts are discussed within the PDR’s interpretation on commodity options embedded in forward contracts. However, the interpretation in effect creates a regulatory interpretation “safe harbor”— that these types of contracts are not “swaps.” </w:t>
      </w:r>
    </w:p>
  </w:footnote>
  <w:footnote w:id="10">
    <w:p w:rsidR="00664DE5" w:rsidRDefault="00664DE5" w:rsidP="002A7D5B">
      <w:pPr>
        <w:pStyle w:val="FootnoteText"/>
      </w:pPr>
      <w:r>
        <w:rPr>
          <w:rStyle w:val="FootnoteReference"/>
        </w:rPr>
        <w:footnoteRef/>
      </w:r>
      <w:r>
        <w:t xml:space="preserve"> II.B.3 of  the Products Definition Release.</w:t>
      </w:r>
    </w:p>
  </w:footnote>
  <w:footnote w:id="11">
    <w:p w:rsidR="00664DE5" w:rsidRDefault="00664DE5" w:rsidP="002A7D5B">
      <w:pPr>
        <w:pStyle w:val="FootnoteText"/>
      </w:pPr>
      <w:r>
        <w:rPr>
          <w:rStyle w:val="FootnoteReference"/>
        </w:rPr>
        <w:footnoteRef/>
      </w:r>
      <w:r>
        <w:t xml:space="preserve"> “Commercial” may mean</w:t>
      </w:r>
      <w:r w:rsidRPr="002F1652">
        <w:t>“related to the business of a producer, processor, fabricator, refiner or merchandiser.” This definition is from the “safe harbor” for nonfinancial commodit</w:t>
      </w:r>
      <w:r>
        <w:t>y forward contracts (see chart H</w:t>
      </w:r>
      <w:r w:rsidRPr="002F1652">
        <w:t>).</w:t>
      </w:r>
    </w:p>
  </w:footnote>
  <w:footnote w:id="12">
    <w:p w:rsidR="00664DE5" w:rsidRDefault="00664DE5" w:rsidP="00EB182C">
      <w:pPr>
        <w:pStyle w:val="FootnoteText"/>
      </w:pPr>
      <w:r>
        <w:rPr>
          <w:rStyle w:val="FootnoteReference"/>
        </w:rPr>
        <w:footnoteRef/>
      </w:r>
      <w:r>
        <w:t xml:space="preserve"> II.B.2(b)(iii) of Products Definition Release.</w:t>
      </w:r>
    </w:p>
  </w:footnote>
  <w:footnote w:id="13">
    <w:p w:rsidR="00664DE5" w:rsidRDefault="00664DE5">
      <w:pPr>
        <w:pStyle w:val="FootnoteText"/>
      </w:pPr>
      <w:r>
        <w:rPr>
          <w:rStyle w:val="FootnoteReference"/>
        </w:rPr>
        <w:footnoteRef/>
      </w:r>
      <w:r>
        <w:t xml:space="preserve"> Unclear why the interpretation is referencing an option as compared to a “swap,” except that the CFTC has interpreted all commodity options as “swaps.” </w:t>
      </w:r>
    </w:p>
  </w:footnote>
  <w:footnote w:id="14">
    <w:p w:rsidR="00664DE5" w:rsidRDefault="00664DE5">
      <w:pPr>
        <w:pStyle w:val="FootnoteText"/>
      </w:pPr>
      <w:r>
        <w:rPr>
          <w:rStyle w:val="FootnoteReference"/>
        </w:rPr>
        <w:footnoteRef/>
      </w:r>
      <w:r>
        <w:t xml:space="preserve"> </w:t>
      </w:r>
      <w:r>
        <w:rPr>
          <w:rFonts w:asciiTheme="minorHAnsi" w:hAnsiTheme="minorHAnsi" w:cstheme="minorHAnsi"/>
        </w:rPr>
        <w:t>On November 14, 2012 the CFTC of General Counsel posted its response to FAQ’s on this regulatory safe  harbor.  This regulatory “safe harbor” is of limited value due to the ambiguities pointed out in energy industry documents on the PDR, and due to further ambiguities in the “clarifications” issued by the OCG.</w:t>
      </w:r>
    </w:p>
  </w:footnote>
  <w:footnote w:id="15">
    <w:p w:rsidR="00664DE5" w:rsidRDefault="00664DE5" w:rsidP="00582C19">
      <w:pPr>
        <w:pStyle w:val="FootnoteText"/>
      </w:pPr>
      <w:r>
        <w:rPr>
          <w:rStyle w:val="FootnoteReference"/>
        </w:rPr>
        <w:footnoteRef/>
      </w:r>
      <w:r>
        <w:t xml:space="preserve"> Interim Final Rule, 77 Fed. Reg. 25320 (April 27, 2012).  The definition of “swap” in CEA 1a(47)(A) expressly includes “commodity options.”  The CFTC has not provided an interpretation that a nonfinancial commodity option (where the parties intend to physically settle) is excluded from the definition of “swap” under CEA 1a(47)(B)(ii).  Request made for reconsideration of statutory construction.    While the trade option exemption operates as a general exemption from the Dodd-Frank “swaps” regime, the exemption is still subject to certain compliance obligations, including recordkeeping under Part 45, reporting pursuant to Part 45 (or, alternatively, annual notice filing pursuant to Part 45), large trader reporting and position limits, SD/MSP conditions, and anti-fraud and anti-manipulation rules.  § 32.3(b) – (d). Moreover it is unclear whether certain other provisions of either the CFTC’s regulations or other regulators’ rulemakings that incorporate by reference the CFTC’s definition of “swap,” would include or exclude trade options. On August 14, 2012 the CFTC issued a no-action letter in respect of trade options until December 31, 2012.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E5" w:rsidRDefault="00664D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E5" w:rsidRDefault="00664D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E5" w:rsidRDefault="00664DE5">
    <w:pPr>
      <w:pStyle w:val="Header"/>
    </w:pPr>
    <w:r>
      <w:tab/>
    </w:r>
    <w:r>
      <w:tab/>
      <w:t>Reed Smith Draft 11/28/12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AACD6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F16875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59463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BAC900"/>
    <w:lvl w:ilvl="0">
      <w:start w:val="1"/>
      <w:numFmt w:val="decimal"/>
      <w:pStyle w:val="ListNumber2"/>
      <w:lvlText w:val="%1."/>
      <w:lvlJc w:val="left"/>
      <w:pPr>
        <w:tabs>
          <w:tab w:val="num" w:pos="720"/>
        </w:tabs>
        <w:ind w:left="720" w:hanging="360"/>
      </w:pPr>
    </w:lvl>
  </w:abstractNum>
  <w:abstractNum w:abstractNumId="4">
    <w:nsid w:val="FFFFFF80"/>
    <w:multiLevelType w:val="singleLevel"/>
    <w:tmpl w:val="BD2014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CBC5EE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152686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8887E3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AB850"/>
    <w:lvl w:ilvl="0">
      <w:start w:val="1"/>
      <w:numFmt w:val="decimal"/>
      <w:pStyle w:val="ListNumber"/>
      <w:lvlText w:val="%1."/>
      <w:lvlJc w:val="left"/>
      <w:pPr>
        <w:tabs>
          <w:tab w:val="num" w:pos="360"/>
        </w:tabs>
        <w:ind w:left="360" w:hanging="360"/>
      </w:pPr>
    </w:lvl>
  </w:abstractNum>
  <w:abstractNum w:abstractNumId="9">
    <w:nsid w:val="FFFFFF89"/>
    <w:multiLevelType w:val="singleLevel"/>
    <w:tmpl w:val="3FA64D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1B2185"/>
    <w:multiLevelType w:val="hybridMultilevel"/>
    <w:tmpl w:val="5F1AC002"/>
    <w:lvl w:ilvl="0" w:tplc="C91A6D4C">
      <w:numFmt w:val="bullet"/>
      <w:lvlText w:val="-"/>
      <w:lvlJc w:val="left"/>
      <w:pPr>
        <w:ind w:left="5730" w:hanging="360"/>
      </w:pPr>
      <w:rPr>
        <w:rFonts w:ascii="Calibri" w:eastAsiaTheme="minorHAnsi" w:hAnsi="Calibri" w:cs="Calibri" w:hint="default"/>
      </w:rPr>
    </w:lvl>
    <w:lvl w:ilvl="1" w:tplc="04090003" w:tentative="1">
      <w:start w:val="1"/>
      <w:numFmt w:val="bullet"/>
      <w:lvlText w:val="o"/>
      <w:lvlJc w:val="left"/>
      <w:pPr>
        <w:ind w:left="6450" w:hanging="360"/>
      </w:pPr>
      <w:rPr>
        <w:rFonts w:ascii="Courier New" w:hAnsi="Courier New" w:cs="Courier New" w:hint="default"/>
      </w:rPr>
    </w:lvl>
    <w:lvl w:ilvl="2" w:tplc="04090005" w:tentative="1">
      <w:start w:val="1"/>
      <w:numFmt w:val="bullet"/>
      <w:lvlText w:val=""/>
      <w:lvlJc w:val="left"/>
      <w:pPr>
        <w:ind w:left="7170" w:hanging="360"/>
      </w:pPr>
      <w:rPr>
        <w:rFonts w:ascii="Wingdings" w:hAnsi="Wingdings" w:hint="default"/>
      </w:rPr>
    </w:lvl>
    <w:lvl w:ilvl="3" w:tplc="04090001" w:tentative="1">
      <w:start w:val="1"/>
      <w:numFmt w:val="bullet"/>
      <w:lvlText w:val=""/>
      <w:lvlJc w:val="left"/>
      <w:pPr>
        <w:ind w:left="7890" w:hanging="360"/>
      </w:pPr>
      <w:rPr>
        <w:rFonts w:ascii="Symbol" w:hAnsi="Symbol" w:hint="default"/>
      </w:rPr>
    </w:lvl>
    <w:lvl w:ilvl="4" w:tplc="04090003" w:tentative="1">
      <w:start w:val="1"/>
      <w:numFmt w:val="bullet"/>
      <w:lvlText w:val="o"/>
      <w:lvlJc w:val="left"/>
      <w:pPr>
        <w:ind w:left="8610" w:hanging="360"/>
      </w:pPr>
      <w:rPr>
        <w:rFonts w:ascii="Courier New" w:hAnsi="Courier New" w:cs="Courier New" w:hint="default"/>
      </w:rPr>
    </w:lvl>
    <w:lvl w:ilvl="5" w:tplc="04090005" w:tentative="1">
      <w:start w:val="1"/>
      <w:numFmt w:val="bullet"/>
      <w:lvlText w:val=""/>
      <w:lvlJc w:val="left"/>
      <w:pPr>
        <w:ind w:left="9330" w:hanging="360"/>
      </w:pPr>
      <w:rPr>
        <w:rFonts w:ascii="Wingdings" w:hAnsi="Wingdings" w:hint="default"/>
      </w:rPr>
    </w:lvl>
    <w:lvl w:ilvl="6" w:tplc="04090001" w:tentative="1">
      <w:start w:val="1"/>
      <w:numFmt w:val="bullet"/>
      <w:lvlText w:val=""/>
      <w:lvlJc w:val="left"/>
      <w:pPr>
        <w:ind w:left="10050" w:hanging="360"/>
      </w:pPr>
      <w:rPr>
        <w:rFonts w:ascii="Symbol" w:hAnsi="Symbol" w:hint="default"/>
      </w:rPr>
    </w:lvl>
    <w:lvl w:ilvl="7" w:tplc="04090003" w:tentative="1">
      <w:start w:val="1"/>
      <w:numFmt w:val="bullet"/>
      <w:lvlText w:val="o"/>
      <w:lvlJc w:val="left"/>
      <w:pPr>
        <w:ind w:left="10770" w:hanging="360"/>
      </w:pPr>
      <w:rPr>
        <w:rFonts w:ascii="Courier New" w:hAnsi="Courier New" w:cs="Courier New" w:hint="default"/>
      </w:rPr>
    </w:lvl>
    <w:lvl w:ilvl="8" w:tplc="04090005" w:tentative="1">
      <w:start w:val="1"/>
      <w:numFmt w:val="bullet"/>
      <w:lvlText w:val=""/>
      <w:lvlJc w:val="left"/>
      <w:pPr>
        <w:ind w:left="11490" w:hanging="360"/>
      </w:pPr>
      <w:rPr>
        <w:rFonts w:ascii="Wingdings" w:hAnsi="Wingdings" w:hint="default"/>
      </w:rPr>
    </w:lvl>
  </w:abstractNum>
  <w:abstractNum w:abstractNumId="11">
    <w:nsid w:val="24F61EAC"/>
    <w:multiLevelType w:val="hybridMultilevel"/>
    <w:tmpl w:val="D49E3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0B395A"/>
    <w:multiLevelType w:val="hybridMultilevel"/>
    <w:tmpl w:val="AD460354"/>
    <w:lvl w:ilvl="0" w:tplc="0409000F">
      <w:start w:val="1"/>
      <w:numFmt w:val="decimal"/>
      <w:pStyle w:val="RSHangingNumbers"/>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5774825"/>
    <w:multiLevelType w:val="hybridMultilevel"/>
    <w:tmpl w:val="59DEEABC"/>
    <w:lvl w:ilvl="0" w:tplc="D3A6332A">
      <w:numFmt w:val="bullet"/>
      <w:lvlText w:val="-"/>
      <w:lvlJc w:val="left"/>
      <w:pPr>
        <w:ind w:left="5010" w:hanging="360"/>
      </w:pPr>
      <w:rPr>
        <w:rFonts w:ascii="Calibri" w:eastAsiaTheme="minorHAnsi" w:hAnsi="Calibri" w:cs="Calibr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15">
    <w:nsid w:val="42364CFC"/>
    <w:multiLevelType w:val="multilevel"/>
    <w:tmpl w:val="F126BD9C"/>
    <w:lvl w:ilvl="0">
      <w:start w:val="1"/>
      <w:numFmt w:val="upperLetter"/>
      <w:pStyle w:val="Heading1"/>
      <w:lvlText w:val="%1."/>
      <w:lvlJc w:val="left"/>
      <w:pPr>
        <w:tabs>
          <w:tab w:val="num" w:pos="720"/>
        </w:tabs>
        <w:ind w:left="720" w:hanging="720"/>
      </w:pPr>
      <w:rPr>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upperLetter"/>
      <w:pStyle w:val="Heading4"/>
      <w:lvlText w:val="(%4)"/>
      <w:lvlJc w:val="left"/>
      <w:pPr>
        <w:tabs>
          <w:tab w:val="num" w:pos="2880"/>
        </w:tabs>
        <w:ind w:left="2880" w:hanging="720"/>
      </w:pPr>
      <w:rPr>
        <w:b w:val="0"/>
        <w:i w:val="0"/>
        <w:caps w:val="0"/>
        <w:color w:val="010000"/>
        <w:u w:val="none"/>
      </w:rPr>
    </w:lvl>
    <w:lvl w:ilvl="4">
      <w:start w:val="1"/>
      <w:numFmt w:val="decimal"/>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lowerRoman"/>
      <w:pStyle w:val="Heading7"/>
      <w:lvlText w:val="(%7)"/>
      <w:lvlJc w:val="left"/>
      <w:pPr>
        <w:tabs>
          <w:tab w:val="num" w:pos="5040"/>
        </w:tabs>
        <w:ind w:left="5040" w:hanging="720"/>
      </w:pPr>
      <w:rPr>
        <w:caps w:val="0"/>
        <w:color w:val="010000"/>
        <w:u w:val="none"/>
      </w:rPr>
    </w:lvl>
    <w:lvl w:ilvl="7">
      <w:start w:val="1"/>
      <w:numFmt w:val="lowerLetter"/>
      <w:pStyle w:val="Heading8"/>
      <w:lvlText w:val="(%8)"/>
      <w:lvlJc w:val="left"/>
      <w:pPr>
        <w:tabs>
          <w:tab w:val="num" w:pos="5760"/>
        </w:tabs>
        <w:ind w:left="5760" w:hanging="720"/>
      </w:pPr>
      <w:rPr>
        <w:caps w:val="0"/>
        <w:color w:val="010000"/>
        <w:u w:val="none"/>
      </w:rPr>
    </w:lvl>
    <w:lvl w:ilvl="8">
      <w:start w:val="1"/>
      <w:numFmt w:val="lowerRoman"/>
      <w:pStyle w:val="Heading9"/>
      <w:lvlText w:val="(%9)"/>
      <w:lvlJc w:val="left"/>
      <w:pPr>
        <w:tabs>
          <w:tab w:val="num" w:pos="6480"/>
        </w:tabs>
        <w:ind w:left="6480" w:hanging="720"/>
      </w:pPr>
      <w:rPr>
        <w:caps w:val="0"/>
        <w:color w:val="010000"/>
        <w:u w:val="none"/>
      </w:rPr>
    </w:lvl>
  </w:abstractNum>
  <w:abstractNum w:abstractNumId="16">
    <w:nsid w:val="51F026C5"/>
    <w:multiLevelType w:val="hybridMultilevel"/>
    <w:tmpl w:val="445AA588"/>
    <w:lvl w:ilvl="0" w:tplc="8E84D6B4">
      <w:numFmt w:val="bullet"/>
      <w:lvlText w:val="-"/>
      <w:lvlJc w:val="left"/>
      <w:pPr>
        <w:ind w:left="5370" w:hanging="360"/>
      </w:pPr>
      <w:rPr>
        <w:rFonts w:ascii="Calibri" w:eastAsiaTheme="minorHAnsi" w:hAnsi="Calibri" w:cs="Calibri" w:hint="default"/>
      </w:rPr>
    </w:lvl>
    <w:lvl w:ilvl="1" w:tplc="04090003" w:tentative="1">
      <w:start w:val="1"/>
      <w:numFmt w:val="bullet"/>
      <w:lvlText w:val="o"/>
      <w:lvlJc w:val="left"/>
      <w:pPr>
        <w:ind w:left="6090" w:hanging="360"/>
      </w:pPr>
      <w:rPr>
        <w:rFonts w:ascii="Courier New" w:hAnsi="Courier New" w:cs="Courier New" w:hint="default"/>
      </w:rPr>
    </w:lvl>
    <w:lvl w:ilvl="2" w:tplc="04090005" w:tentative="1">
      <w:start w:val="1"/>
      <w:numFmt w:val="bullet"/>
      <w:lvlText w:val=""/>
      <w:lvlJc w:val="left"/>
      <w:pPr>
        <w:ind w:left="6810" w:hanging="360"/>
      </w:pPr>
      <w:rPr>
        <w:rFonts w:ascii="Wingdings" w:hAnsi="Wingdings" w:hint="default"/>
      </w:rPr>
    </w:lvl>
    <w:lvl w:ilvl="3" w:tplc="04090001" w:tentative="1">
      <w:start w:val="1"/>
      <w:numFmt w:val="bullet"/>
      <w:lvlText w:val=""/>
      <w:lvlJc w:val="left"/>
      <w:pPr>
        <w:ind w:left="7530" w:hanging="360"/>
      </w:pPr>
      <w:rPr>
        <w:rFonts w:ascii="Symbol" w:hAnsi="Symbol" w:hint="default"/>
      </w:rPr>
    </w:lvl>
    <w:lvl w:ilvl="4" w:tplc="04090003" w:tentative="1">
      <w:start w:val="1"/>
      <w:numFmt w:val="bullet"/>
      <w:lvlText w:val="o"/>
      <w:lvlJc w:val="left"/>
      <w:pPr>
        <w:ind w:left="8250" w:hanging="360"/>
      </w:pPr>
      <w:rPr>
        <w:rFonts w:ascii="Courier New" w:hAnsi="Courier New" w:cs="Courier New" w:hint="default"/>
      </w:rPr>
    </w:lvl>
    <w:lvl w:ilvl="5" w:tplc="04090005" w:tentative="1">
      <w:start w:val="1"/>
      <w:numFmt w:val="bullet"/>
      <w:lvlText w:val=""/>
      <w:lvlJc w:val="left"/>
      <w:pPr>
        <w:ind w:left="8970" w:hanging="360"/>
      </w:pPr>
      <w:rPr>
        <w:rFonts w:ascii="Wingdings" w:hAnsi="Wingdings" w:hint="default"/>
      </w:rPr>
    </w:lvl>
    <w:lvl w:ilvl="6" w:tplc="04090001" w:tentative="1">
      <w:start w:val="1"/>
      <w:numFmt w:val="bullet"/>
      <w:lvlText w:val=""/>
      <w:lvlJc w:val="left"/>
      <w:pPr>
        <w:ind w:left="9690" w:hanging="360"/>
      </w:pPr>
      <w:rPr>
        <w:rFonts w:ascii="Symbol" w:hAnsi="Symbol" w:hint="default"/>
      </w:rPr>
    </w:lvl>
    <w:lvl w:ilvl="7" w:tplc="04090003" w:tentative="1">
      <w:start w:val="1"/>
      <w:numFmt w:val="bullet"/>
      <w:lvlText w:val="o"/>
      <w:lvlJc w:val="left"/>
      <w:pPr>
        <w:ind w:left="10410" w:hanging="360"/>
      </w:pPr>
      <w:rPr>
        <w:rFonts w:ascii="Courier New" w:hAnsi="Courier New" w:cs="Courier New" w:hint="default"/>
      </w:rPr>
    </w:lvl>
    <w:lvl w:ilvl="8" w:tplc="04090005" w:tentative="1">
      <w:start w:val="1"/>
      <w:numFmt w:val="bullet"/>
      <w:lvlText w:val=""/>
      <w:lvlJc w:val="left"/>
      <w:pPr>
        <w:ind w:left="11130" w:hanging="360"/>
      </w:pPr>
      <w:rPr>
        <w:rFonts w:ascii="Wingdings" w:hAnsi="Wingdings" w:hint="default"/>
      </w:rPr>
    </w:lvl>
  </w:abstractNum>
  <w:abstractNum w:abstractNumId="17">
    <w:nsid w:val="5E104D9F"/>
    <w:multiLevelType w:val="hybridMultilevel"/>
    <w:tmpl w:val="3E92B536"/>
    <w:lvl w:ilvl="0" w:tplc="2A00C15A">
      <w:start w:val="1"/>
      <w:numFmt w:val="decimal"/>
      <w:pStyle w:val="RSNumberedList"/>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DF22C6"/>
    <w:multiLevelType w:val="hybridMultilevel"/>
    <w:tmpl w:val="DA4EA146"/>
    <w:lvl w:ilvl="0" w:tplc="69C4036E">
      <w:start w:val="1"/>
      <w:numFmt w:val="bullet"/>
      <w:pStyle w:val="RSBulletedList"/>
      <w:lvlText w:val=""/>
      <w:lvlJc w:val="left"/>
      <w:pPr>
        <w:tabs>
          <w:tab w:val="num" w:pos="72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2047A4"/>
    <w:multiLevelType w:val="hybridMultilevel"/>
    <w:tmpl w:val="68F4F26C"/>
    <w:lvl w:ilvl="0" w:tplc="836C23F8">
      <w:numFmt w:val="bullet"/>
      <w:lvlText w:val="-"/>
      <w:lvlJc w:val="left"/>
      <w:pPr>
        <w:ind w:left="5010" w:hanging="360"/>
      </w:pPr>
      <w:rPr>
        <w:rFonts w:ascii="Calibri" w:eastAsiaTheme="minorHAnsi" w:hAnsi="Calibri" w:cs="Calibr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num w:numId="1">
    <w:abstractNumId w:val="14"/>
  </w:num>
  <w:num w:numId="2">
    <w:abstractNumId w:val="16"/>
  </w:num>
  <w:num w:numId="3">
    <w:abstractNumId w:val="10"/>
  </w:num>
  <w:num w:numId="4">
    <w:abstractNumId w:val="19"/>
  </w:num>
  <w:num w:numId="5">
    <w:abstractNumId w:val="18"/>
  </w:num>
  <w:num w:numId="6">
    <w:abstractNumId w:val="11"/>
  </w:num>
  <w:num w:numId="7">
    <w:abstractNumId w:val="12"/>
  </w:num>
  <w:num w:numId="8">
    <w:abstractNumId w:val="17"/>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330245"/>
    <w:docVar w:name="CMRemoved" w:val="False"/>
    <w:docVar w:name="DateRemoved" w:val="True"/>
    <w:docVar w:name="DefaultNumberOfLevelsInTOCForThisScheme" w:val="3"/>
    <w:docVar w:name="DocCategory1" w:val="330245"/>
    <w:docVar w:name="DocCategory2" w:val="00001"/>
    <w:docVar w:name="DocIDAllPagesExceptFirst" w:val="False"/>
    <w:docVar w:name="DocIDAuthor" w:val="False"/>
    <w:docVar w:name="DocIDClientMatter" w:val="True"/>
    <w:docVar w:name="DocIDDate" w:val="False"/>
    <w:docVar w:name="DocIDDateText" w:val="False"/>
    <w:docVar w:name="DocIDDefaultsApplied" w:val="True"/>
    <w:docVar w:name="DocIDDraft" w:val="False"/>
    <w:docVar w:name="DocIDEOD" w:val="False"/>
    <w:docVar w:name="DocIDFileName" w:val="False"/>
    <w:docVar w:name="DocIDFirstPageFooter" w:val="True"/>
    <w:docVar w:name="DocIDFooter" w:val="False"/>
    <w:docVar w:name="DocIDLibrary" w:val="True"/>
    <w:docVar w:name="DocIDLongDate" w:val="False"/>
    <w:docVar w:name="DocIDPrefix" w:val="False"/>
    <w:docVar w:name="DocIDPrintedDate" w:val="False"/>
    <w:docVar w:name="DocIDRemoved" w:val="False"/>
    <w:docVar w:name="DocIDTime" w:val="False"/>
    <w:docVar w:name="DocIDType" w:val="FirstPageOnly"/>
    <w:docVar w:name="DocIDTypist" w:val="False"/>
    <w:docVar w:name="DocIDVersion" w:val="True"/>
    <w:docVar w:name="DraftRemoved" w:val="True"/>
    <w:docVar w:name="LastSchemeChoice" w:val="RS Standard"/>
    <w:docVar w:name="LastSchemeUniqueID" w:val="160"/>
    <w:docVar w:name="LegacyDocIDRemoved" w:val="True"/>
    <w:docVar w:name="MatterNumber" w:val="00001"/>
    <w:docVar w:name="Option0True" w:val="False"/>
    <w:docVar w:name="Option1True" w:val="False"/>
    <w:docVar w:name="Option2True" w:val="False"/>
    <w:docVar w:name="Option3True" w:val="False"/>
    <w:docVar w:name="TimeRemoved" w:val="True"/>
  </w:docVars>
  <w:rsids>
    <w:rsidRoot w:val="00DD394B"/>
    <w:rsid w:val="00001062"/>
    <w:rsid w:val="00001475"/>
    <w:rsid w:val="000236CA"/>
    <w:rsid w:val="000428BD"/>
    <w:rsid w:val="000508F1"/>
    <w:rsid w:val="0006546C"/>
    <w:rsid w:val="00072375"/>
    <w:rsid w:val="000B5EA2"/>
    <w:rsid w:val="000B6E21"/>
    <w:rsid w:val="000C4EB8"/>
    <w:rsid w:val="000D4042"/>
    <w:rsid w:val="000D5FA8"/>
    <w:rsid w:val="000D7434"/>
    <w:rsid w:val="000E038C"/>
    <w:rsid w:val="001260D1"/>
    <w:rsid w:val="00131BFE"/>
    <w:rsid w:val="00156A59"/>
    <w:rsid w:val="001777B9"/>
    <w:rsid w:val="00177DAD"/>
    <w:rsid w:val="00181CB2"/>
    <w:rsid w:val="00191627"/>
    <w:rsid w:val="001A1E6E"/>
    <w:rsid w:val="001B0C05"/>
    <w:rsid w:val="001B243B"/>
    <w:rsid w:val="001F6145"/>
    <w:rsid w:val="00210FF9"/>
    <w:rsid w:val="00213A83"/>
    <w:rsid w:val="00216E56"/>
    <w:rsid w:val="0022668A"/>
    <w:rsid w:val="00292A68"/>
    <w:rsid w:val="002A6AD7"/>
    <w:rsid w:val="002A7D5B"/>
    <w:rsid w:val="002B4DB3"/>
    <w:rsid w:val="002F1652"/>
    <w:rsid w:val="00337A2F"/>
    <w:rsid w:val="00340E50"/>
    <w:rsid w:val="00351EA4"/>
    <w:rsid w:val="0037032B"/>
    <w:rsid w:val="0038665E"/>
    <w:rsid w:val="0039653E"/>
    <w:rsid w:val="003C0303"/>
    <w:rsid w:val="004176DC"/>
    <w:rsid w:val="004430D1"/>
    <w:rsid w:val="00445A66"/>
    <w:rsid w:val="00455731"/>
    <w:rsid w:val="004737D1"/>
    <w:rsid w:val="00492A89"/>
    <w:rsid w:val="00497F82"/>
    <w:rsid w:val="004C3C1D"/>
    <w:rsid w:val="00510886"/>
    <w:rsid w:val="005251C1"/>
    <w:rsid w:val="00546E56"/>
    <w:rsid w:val="00582C19"/>
    <w:rsid w:val="005906C6"/>
    <w:rsid w:val="005A5ADA"/>
    <w:rsid w:val="005B7BD5"/>
    <w:rsid w:val="005E667F"/>
    <w:rsid w:val="006270A2"/>
    <w:rsid w:val="00664DE5"/>
    <w:rsid w:val="0067112C"/>
    <w:rsid w:val="0067700F"/>
    <w:rsid w:val="00684330"/>
    <w:rsid w:val="00685507"/>
    <w:rsid w:val="00697617"/>
    <w:rsid w:val="00697FC8"/>
    <w:rsid w:val="006C6E54"/>
    <w:rsid w:val="006C7F8D"/>
    <w:rsid w:val="006E1A56"/>
    <w:rsid w:val="006E7C2F"/>
    <w:rsid w:val="006F0658"/>
    <w:rsid w:val="007041A8"/>
    <w:rsid w:val="007067A1"/>
    <w:rsid w:val="00713E30"/>
    <w:rsid w:val="00752020"/>
    <w:rsid w:val="007E52E2"/>
    <w:rsid w:val="007F4570"/>
    <w:rsid w:val="00806156"/>
    <w:rsid w:val="008164C2"/>
    <w:rsid w:val="0082037C"/>
    <w:rsid w:val="0082335F"/>
    <w:rsid w:val="00827B45"/>
    <w:rsid w:val="008804EC"/>
    <w:rsid w:val="008D3C55"/>
    <w:rsid w:val="008F0A59"/>
    <w:rsid w:val="008F6F47"/>
    <w:rsid w:val="00922C13"/>
    <w:rsid w:val="0092768C"/>
    <w:rsid w:val="0093065A"/>
    <w:rsid w:val="00953536"/>
    <w:rsid w:val="00991B29"/>
    <w:rsid w:val="009A0062"/>
    <w:rsid w:val="009F184C"/>
    <w:rsid w:val="00A41A74"/>
    <w:rsid w:val="00A562A7"/>
    <w:rsid w:val="00AA0ADE"/>
    <w:rsid w:val="00AA0C38"/>
    <w:rsid w:val="00AF50D8"/>
    <w:rsid w:val="00B208D5"/>
    <w:rsid w:val="00B21EA0"/>
    <w:rsid w:val="00B26CF1"/>
    <w:rsid w:val="00B32E37"/>
    <w:rsid w:val="00B52C2D"/>
    <w:rsid w:val="00B65AAA"/>
    <w:rsid w:val="00B96CC5"/>
    <w:rsid w:val="00BA33AF"/>
    <w:rsid w:val="00BB6711"/>
    <w:rsid w:val="00BF7732"/>
    <w:rsid w:val="00C3308A"/>
    <w:rsid w:val="00C35A49"/>
    <w:rsid w:val="00C50B52"/>
    <w:rsid w:val="00C84E5B"/>
    <w:rsid w:val="00CC0B9C"/>
    <w:rsid w:val="00CD0B09"/>
    <w:rsid w:val="00D55DFB"/>
    <w:rsid w:val="00DA0838"/>
    <w:rsid w:val="00DB4E4A"/>
    <w:rsid w:val="00DD394B"/>
    <w:rsid w:val="00DE155F"/>
    <w:rsid w:val="00DE44D4"/>
    <w:rsid w:val="00E324DB"/>
    <w:rsid w:val="00E77786"/>
    <w:rsid w:val="00E85214"/>
    <w:rsid w:val="00E90D30"/>
    <w:rsid w:val="00EB0631"/>
    <w:rsid w:val="00EB182C"/>
    <w:rsid w:val="00EC2855"/>
    <w:rsid w:val="00F0197C"/>
    <w:rsid w:val="00F13621"/>
    <w:rsid w:val="00F141E2"/>
    <w:rsid w:val="00F44839"/>
    <w:rsid w:val="00F45003"/>
    <w:rsid w:val="00F765E3"/>
    <w:rsid w:val="00F81036"/>
    <w:rsid w:val="00F942CF"/>
    <w:rsid w:val="00FA1926"/>
    <w:rsid w:val="00FA2B37"/>
    <w:rsid w:val="00FC3B15"/>
    <w:rsid w:val="00FC5F8A"/>
    <w:rsid w:val="00FD26CB"/>
    <w:rsid w:val="00FE14BC"/>
    <w:rsid w:val="00FF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lsdException w:name="header" w:unhideWhenUsed="1"/>
    <w:lsdException w:name="footer" w:unhideWhenUsed="1"/>
    <w:lsdException w:name="caption" w:uiPriority="35" w:qFormat="1"/>
    <w:lsdException w:name="footnote reference" w:uiPriority="0"/>
    <w:lsdException w:name="table of authorities" w:unhideWhenUsed="1"/>
    <w:lsdException w:name="toa heading" w:unhideWhenUsed="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Normal">
    <w:name w:val="Normal"/>
    <w:rsid w:val="00B32E37"/>
  </w:style>
  <w:style w:type="paragraph" w:styleId="Heading1">
    <w:name w:val="heading 1"/>
    <w:basedOn w:val="Normal"/>
    <w:next w:val="RSBodyText"/>
    <w:link w:val="Heading1Char"/>
    <w:qFormat/>
    <w:rsid w:val="009A0062"/>
    <w:pPr>
      <w:numPr>
        <w:numId w:val="20"/>
      </w:numPr>
      <w:spacing w:after="240"/>
      <w:outlineLvl w:val="0"/>
    </w:pPr>
    <w:rPr>
      <w:rFonts w:eastAsiaTheme="majorEastAsia" w:cs="Times New Roman"/>
      <w:bCs/>
      <w:color w:val="000000"/>
      <w:szCs w:val="28"/>
    </w:rPr>
  </w:style>
  <w:style w:type="paragraph" w:styleId="Heading2">
    <w:name w:val="heading 2"/>
    <w:basedOn w:val="Normal"/>
    <w:next w:val="RSBodyText"/>
    <w:link w:val="Heading2Char"/>
    <w:unhideWhenUsed/>
    <w:qFormat/>
    <w:rsid w:val="009A0062"/>
    <w:pPr>
      <w:numPr>
        <w:ilvl w:val="1"/>
        <w:numId w:val="20"/>
      </w:numPr>
      <w:spacing w:after="240"/>
      <w:outlineLvl w:val="1"/>
    </w:pPr>
    <w:rPr>
      <w:rFonts w:eastAsiaTheme="majorEastAsia" w:cs="Times New Roman"/>
      <w:bCs/>
      <w:color w:val="000000"/>
      <w:szCs w:val="26"/>
    </w:rPr>
  </w:style>
  <w:style w:type="paragraph" w:styleId="Heading3">
    <w:name w:val="heading 3"/>
    <w:basedOn w:val="Normal"/>
    <w:next w:val="RSBodyText"/>
    <w:link w:val="Heading3Char"/>
    <w:semiHidden/>
    <w:unhideWhenUsed/>
    <w:qFormat/>
    <w:rsid w:val="009A0062"/>
    <w:pPr>
      <w:numPr>
        <w:ilvl w:val="2"/>
        <w:numId w:val="20"/>
      </w:numPr>
      <w:spacing w:after="240"/>
      <w:outlineLvl w:val="2"/>
    </w:pPr>
    <w:rPr>
      <w:rFonts w:eastAsiaTheme="majorEastAsia" w:cs="Times New Roman"/>
      <w:bCs/>
      <w:color w:val="000000"/>
    </w:rPr>
  </w:style>
  <w:style w:type="paragraph" w:styleId="Heading4">
    <w:name w:val="heading 4"/>
    <w:basedOn w:val="Normal"/>
    <w:next w:val="RSBodyText"/>
    <w:link w:val="Heading4Char"/>
    <w:semiHidden/>
    <w:unhideWhenUsed/>
    <w:qFormat/>
    <w:rsid w:val="009A0062"/>
    <w:pPr>
      <w:numPr>
        <w:ilvl w:val="3"/>
        <w:numId w:val="20"/>
      </w:numPr>
      <w:spacing w:after="240"/>
      <w:outlineLvl w:val="3"/>
    </w:pPr>
    <w:rPr>
      <w:rFonts w:eastAsiaTheme="majorEastAsia" w:cs="Times New Roman"/>
      <w:bCs/>
      <w:iCs/>
      <w:color w:val="000000"/>
    </w:rPr>
  </w:style>
  <w:style w:type="paragraph" w:styleId="Heading5">
    <w:name w:val="heading 5"/>
    <w:basedOn w:val="Normal"/>
    <w:next w:val="RSBodyText"/>
    <w:link w:val="Heading5Char"/>
    <w:semiHidden/>
    <w:unhideWhenUsed/>
    <w:qFormat/>
    <w:rsid w:val="009A0062"/>
    <w:pPr>
      <w:numPr>
        <w:ilvl w:val="4"/>
        <w:numId w:val="20"/>
      </w:numPr>
      <w:spacing w:after="240"/>
      <w:outlineLvl w:val="4"/>
    </w:pPr>
    <w:rPr>
      <w:rFonts w:eastAsiaTheme="majorEastAsia" w:cs="Times New Roman"/>
      <w:color w:val="000000"/>
    </w:rPr>
  </w:style>
  <w:style w:type="paragraph" w:styleId="Heading6">
    <w:name w:val="heading 6"/>
    <w:basedOn w:val="Normal"/>
    <w:next w:val="RSBodyText"/>
    <w:link w:val="Heading6Char"/>
    <w:semiHidden/>
    <w:unhideWhenUsed/>
    <w:qFormat/>
    <w:rsid w:val="009A0062"/>
    <w:pPr>
      <w:numPr>
        <w:ilvl w:val="5"/>
        <w:numId w:val="20"/>
      </w:numPr>
      <w:spacing w:after="240"/>
      <w:outlineLvl w:val="5"/>
    </w:pPr>
    <w:rPr>
      <w:rFonts w:eastAsiaTheme="majorEastAsia" w:cs="Times New Roman"/>
      <w:iCs/>
      <w:color w:val="000000"/>
    </w:rPr>
  </w:style>
  <w:style w:type="paragraph" w:styleId="Heading7">
    <w:name w:val="heading 7"/>
    <w:basedOn w:val="Normal"/>
    <w:next w:val="RSBodyText"/>
    <w:link w:val="Heading7Char"/>
    <w:semiHidden/>
    <w:unhideWhenUsed/>
    <w:qFormat/>
    <w:rsid w:val="009A0062"/>
    <w:pPr>
      <w:numPr>
        <w:ilvl w:val="6"/>
        <w:numId w:val="20"/>
      </w:numPr>
      <w:spacing w:after="240"/>
      <w:outlineLvl w:val="6"/>
    </w:pPr>
    <w:rPr>
      <w:rFonts w:eastAsiaTheme="majorEastAsia" w:cs="Times New Roman"/>
      <w:iCs/>
      <w:color w:val="000000"/>
    </w:rPr>
  </w:style>
  <w:style w:type="paragraph" w:styleId="Heading8">
    <w:name w:val="heading 8"/>
    <w:basedOn w:val="Normal"/>
    <w:next w:val="RSBodyText"/>
    <w:link w:val="Heading8Char"/>
    <w:semiHidden/>
    <w:unhideWhenUsed/>
    <w:qFormat/>
    <w:rsid w:val="009A0062"/>
    <w:pPr>
      <w:numPr>
        <w:ilvl w:val="7"/>
        <w:numId w:val="20"/>
      </w:numPr>
      <w:spacing w:after="240"/>
      <w:outlineLvl w:val="7"/>
    </w:pPr>
    <w:rPr>
      <w:rFonts w:eastAsiaTheme="majorEastAsia" w:cs="Times New Roman"/>
      <w:color w:val="000000"/>
      <w:szCs w:val="20"/>
    </w:rPr>
  </w:style>
  <w:style w:type="paragraph" w:styleId="Heading9">
    <w:name w:val="heading 9"/>
    <w:basedOn w:val="Normal"/>
    <w:next w:val="RSBodyText"/>
    <w:link w:val="Heading9Char"/>
    <w:semiHidden/>
    <w:unhideWhenUsed/>
    <w:qFormat/>
    <w:rsid w:val="009A0062"/>
    <w:pPr>
      <w:numPr>
        <w:ilvl w:val="8"/>
        <w:numId w:val="20"/>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2B37"/>
    <w:pPr>
      <w:tabs>
        <w:tab w:val="center" w:pos="4680"/>
        <w:tab w:val="right" w:pos="9360"/>
      </w:tabs>
    </w:pPr>
  </w:style>
  <w:style w:type="character" w:customStyle="1" w:styleId="HeaderChar">
    <w:name w:val="Header Char"/>
    <w:basedOn w:val="DefaultParagraphFont"/>
    <w:link w:val="Header"/>
    <w:uiPriority w:val="99"/>
    <w:semiHidden/>
    <w:rsid w:val="00B52C2D"/>
  </w:style>
  <w:style w:type="paragraph" w:styleId="Footer">
    <w:name w:val="footer"/>
    <w:basedOn w:val="Normal"/>
    <w:link w:val="FooterChar"/>
    <w:uiPriority w:val="99"/>
    <w:semiHidden/>
    <w:rsid w:val="00FA2B37"/>
    <w:pPr>
      <w:tabs>
        <w:tab w:val="center" w:pos="4680"/>
        <w:tab w:val="right" w:pos="9360"/>
      </w:tabs>
    </w:pPr>
  </w:style>
  <w:style w:type="character" w:customStyle="1" w:styleId="FooterChar">
    <w:name w:val="Footer Char"/>
    <w:basedOn w:val="DefaultParagraphFont"/>
    <w:link w:val="Footer"/>
    <w:uiPriority w:val="99"/>
    <w:semiHidden/>
    <w:rsid w:val="00B52C2D"/>
  </w:style>
  <w:style w:type="paragraph" w:styleId="ListParagraph">
    <w:name w:val="List Paragraph"/>
    <w:basedOn w:val="Normal"/>
    <w:uiPriority w:val="34"/>
    <w:semiHidden/>
    <w:rsid w:val="00FD26CB"/>
    <w:pPr>
      <w:ind w:left="720"/>
      <w:contextualSpacing/>
    </w:pPr>
  </w:style>
  <w:style w:type="paragraph" w:customStyle="1" w:styleId="RSBlockText">
    <w:name w:val="RS Block Text"/>
    <w:basedOn w:val="Normal"/>
    <w:link w:val="RSBlockTextChar"/>
    <w:qFormat/>
    <w:rsid w:val="00F141E2"/>
    <w:pPr>
      <w:spacing w:after="240"/>
      <w:jc w:val="both"/>
    </w:pPr>
  </w:style>
  <w:style w:type="character" w:customStyle="1" w:styleId="DocID">
    <w:name w:val="DocID"/>
    <w:basedOn w:val="DefaultParagraphFont"/>
    <w:rsid w:val="00FA2B37"/>
    <w:rPr>
      <w:rFonts w:ascii="Arial" w:hAnsi="Arial"/>
      <w:noProof/>
      <w:sz w:val="12"/>
    </w:rPr>
  </w:style>
  <w:style w:type="character" w:customStyle="1" w:styleId="RSBlockTextChar">
    <w:name w:val="RS Block Text Char"/>
    <w:basedOn w:val="DefaultParagraphFont"/>
    <w:link w:val="RSBlockText"/>
    <w:rsid w:val="00F141E2"/>
  </w:style>
  <w:style w:type="paragraph" w:customStyle="1" w:styleId="RSBodyText">
    <w:name w:val="RS Body Text"/>
    <w:basedOn w:val="Normal"/>
    <w:link w:val="RSBodyTextChar"/>
    <w:qFormat/>
    <w:rsid w:val="00F141E2"/>
    <w:pPr>
      <w:spacing w:after="240"/>
    </w:pPr>
  </w:style>
  <w:style w:type="character" w:customStyle="1" w:styleId="RSBodyTextChar">
    <w:name w:val="RS Body Text Char"/>
    <w:basedOn w:val="DefaultParagraphFont"/>
    <w:link w:val="RSBodyText"/>
    <w:rsid w:val="00F141E2"/>
  </w:style>
  <w:style w:type="paragraph" w:customStyle="1" w:styleId="RSBodyText15">
    <w:name w:val="RS Body Text 1.5"/>
    <w:basedOn w:val="Normal"/>
    <w:qFormat/>
    <w:rsid w:val="000E038C"/>
    <w:pPr>
      <w:spacing w:after="360"/>
    </w:pPr>
  </w:style>
  <w:style w:type="paragraph" w:customStyle="1" w:styleId="RSBodyText15Inch">
    <w:name w:val="RS Body Text 1.5 Inch"/>
    <w:basedOn w:val="Normal"/>
    <w:qFormat/>
    <w:rsid w:val="000E038C"/>
    <w:pPr>
      <w:spacing w:after="360"/>
      <w:ind w:firstLine="1440"/>
    </w:pPr>
  </w:style>
  <w:style w:type="paragraph" w:customStyle="1" w:styleId="RSBodyTextDbl">
    <w:name w:val="RS Body Text Dbl"/>
    <w:basedOn w:val="Normal"/>
    <w:qFormat/>
    <w:rsid w:val="000E038C"/>
    <w:pPr>
      <w:spacing w:after="480"/>
    </w:pPr>
  </w:style>
  <w:style w:type="paragraph" w:customStyle="1" w:styleId="RSBodyTextDblInch">
    <w:name w:val="RS Body Text Dbl Inch"/>
    <w:basedOn w:val="Normal"/>
    <w:qFormat/>
    <w:rsid w:val="000E038C"/>
    <w:pPr>
      <w:spacing w:after="480"/>
      <w:ind w:firstLine="1440"/>
    </w:pPr>
  </w:style>
  <w:style w:type="paragraph" w:customStyle="1" w:styleId="RSBodyTextFull">
    <w:name w:val="RS Body Text Full"/>
    <w:basedOn w:val="Normal"/>
    <w:qFormat/>
    <w:rsid w:val="000E038C"/>
    <w:pPr>
      <w:spacing w:after="240"/>
      <w:jc w:val="both"/>
    </w:pPr>
  </w:style>
  <w:style w:type="paragraph" w:customStyle="1" w:styleId="RSBodyTextInch">
    <w:name w:val="RS Body Text Inch"/>
    <w:basedOn w:val="Normal"/>
    <w:qFormat/>
    <w:rsid w:val="000E038C"/>
    <w:pPr>
      <w:spacing w:after="240"/>
      <w:ind w:firstLine="1440"/>
    </w:pPr>
  </w:style>
  <w:style w:type="paragraph" w:customStyle="1" w:styleId="RSDblQuote">
    <w:name w:val="RS Dbl Quote"/>
    <w:basedOn w:val="Normal"/>
    <w:qFormat/>
    <w:rsid w:val="000E038C"/>
    <w:pPr>
      <w:spacing w:after="480"/>
      <w:ind w:left="720" w:right="720"/>
    </w:pPr>
  </w:style>
  <w:style w:type="paragraph" w:customStyle="1" w:styleId="RSQuote">
    <w:name w:val="RS Quote"/>
    <w:basedOn w:val="Normal"/>
    <w:qFormat/>
    <w:rsid w:val="000E038C"/>
    <w:pPr>
      <w:spacing w:after="240"/>
      <w:ind w:left="720" w:right="720"/>
    </w:pPr>
  </w:style>
  <w:style w:type="paragraph" w:customStyle="1" w:styleId="RSSign">
    <w:name w:val="RS Sign"/>
    <w:basedOn w:val="Normal"/>
    <w:qFormat/>
    <w:rsid w:val="000E038C"/>
    <w:pPr>
      <w:keepNext/>
      <w:keepLines/>
      <w:tabs>
        <w:tab w:val="right" w:pos="9360"/>
      </w:tabs>
      <w:spacing w:after="240"/>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827B45"/>
    <w:pPr>
      <w:numPr>
        <w:numId w:val="5"/>
      </w:numPr>
      <w:contextualSpacing/>
    </w:pPr>
  </w:style>
  <w:style w:type="paragraph" w:customStyle="1" w:styleId="RSHangingNumbers">
    <w:name w:val="RS Hanging Numbers"/>
    <w:basedOn w:val="ListParagraph"/>
    <w:rsid w:val="00827B45"/>
    <w:pPr>
      <w:numPr>
        <w:numId w:val="7"/>
      </w:numPr>
      <w:spacing w:after="240"/>
      <w:contextualSpacing w:val="0"/>
    </w:pPr>
  </w:style>
  <w:style w:type="paragraph" w:customStyle="1" w:styleId="RSNumberedList">
    <w:name w:val="RS Numbered List"/>
    <w:basedOn w:val="Normal"/>
    <w:rsid w:val="00B52C2D"/>
    <w:pPr>
      <w:numPr>
        <w:numId w:val="8"/>
      </w:numPr>
      <w:spacing w:after="240"/>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 w:val="20"/>
      <w:szCs w:val="20"/>
    </w:rPr>
  </w:style>
  <w:style w:type="character" w:customStyle="1" w:styleId="Heading1Char">
    <w:name w:val="Heading 1 Char"/>
    <w:basedOn w:val="DefaultParagraphFont"/>
    <w:link w:val="Heading1"/>
    <w:rsid w:val="009A0062"/>
    <w:rPr>
      <w:rFonts w:eastAsiaTheme="majorEastAsia" w:cs="Times New Roman"/>
      <w:bCs/>
      <w:color w:val="000000"/>
      <w:szCs w:val="28"/>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character" w:customStyle="1" w:styleId="Heading2Char">
    <w:name w:val="Heading 2 Char"/>
    <w:basedOn w:val="DefaultParagraphFont"/>
    <w:link w:val="Heading2"/>
    <w:rsid w:val="009A0062"/>
    <w:rPr>
      <w:rFonts w:eastAsiaTheme="majorEastAsia" w:cs="Times New Roman"/>
      <w:bCs/>
      <w:color w:val="000000"/>
      <w:szCs w:val="26"/>
    </w:rPr>
  </w:style>
  <w:style w:type="character" w:customStyle="1" w:styleId="Heading3Char">
    <w:name w:val="Heading 3 Char"/>
    <w:basedOn w:val="DefaultParagraphFont"/>
    <w:link w:val="Heading3"/>
    <w:semiHidden/>
    <w:rsid w:val="009A0062"/>
    <w:rPr>
      <w:rFonts w:eastAsiaTheme="majorEastAsia" w:cs="Times New Roman"/>
      <w:bCs/>
      <w:color w:val="000000"/>
    </w:rPr>
  </w:style>
  <w:style w:type="character" w:customStyle="1" w:styleId="Heading4Char">
    <w:name w:val="Heading 4 Char"/>
    <w:basedOn w:val="DefaultParagraphFont"/>
    <w:link w:val="Heading4"/>
    <w:semiHidden/>
    <w:rsid w:val="009A0062"/>
    <w:rPr>
      <w:rFonts w:eastAsiaTheme="majorEastAsia" w:cs="Times New Roman"/>
      <w:bCs/>
      <w:iCs/>
      <w:color w:val="000000"/>
    </w:rPr>
  </w:style>
  <w:style w:type="character" w:customStyle="1" w:styleId="Heading5Char">
    <w:name w:val="Heading 5 Char"/>
    <w:basedOn w:val="DefaultParagraphFont"/>
    <w:link w:val="Heading5"/>
    <w:semiHidden/>
    <w:rsid w:val="009A0062"/>
    <w:rPr>
      <w:rFonts w:eastAsiaTheme="majorEastAsia" w:cs="Times New Roman"/>
      <w:color w:val="000000"/>
    </w:rPr>
  </w:style>
  <w:style w:type="character" w:customStyle="1" w:styleId="Heading6Char">
    <w:name w:val="Heading 6 Char"/>
    <w:basedOn w:val="DefaultParagraphFont"/>
    <w:link w:val="Heading6"/>
    <w:semiHidden/>
    <w:rsid w:val="009A0062"/>
    <w:rPr>
      <w:rFonts w:eastAsiaTheme="majorEastAsia" w:cs="Times New Roman"/>
      <w:iCs/>
      <w:color w:val="000000"/>
    </w:rPr>
  </w:style>
  <w:style w:type="character" w:customStyle="1" w:styleId="Heading7Char">
    <w:name w:val="Heading 7 Char"/>
    <w:basedOn w:val="DefaultParagraphFont"/>
    <w:link w:val="Heading7"/>
    <w:semiHidden/>
    <w:rsid w:val="009A0062"/>
    <w:rPr>
      <w:rFonts w:eastAsiaTheme="majorEastAsia" w:cs="Times New Roman"/>
      <w:iCs/>
      <w:color w:val="000000"/>
    </w:rPr>
  </w:style>
  <w:style w:type="character" w:customStyle="1" w:styleId="Heading8Char">
    <w:name w:val="Heading 8 Char"/>
    <w:basedOn w:val="DefaultParagraphFont"/>
    <w:link w:val="Heading8"/>
    <w:semiHidden/>
    <w:rsid w:val="009A0062"/>
    <w:rPr>
      <w:rFonts w:eastAsiaTheme="majorEastAsia" w:cs="Times New Roman"/>
      <w:color w:val="000000"/>
      <w:szCs w:val="20"/>
    </w:rPr>
  </w:style>
  <w:style w:type="character" w:customStyle="1" w:styleId="Heading9Char">
    <w:name w:val="Heading 9 Char"/>
    <w:basedOn w:val="DefaultParagraphFont"/>
    <w:link w:val="Heading9"/>
    <w:semiHidden/>
    <w:rsid w:val="009A0062"/>
    <w:rPr>
      <w:rFonts w:eastAsiaTheme="majorEastAsia" w:cs="Times New Roman"/>
      <w:iCs/>
      <w:color w:val="000000"/>
      <w:szCs w:val="20"/>
    </w:rPr>
  </w:style>
  <w:style w:type="paragraph" w:styleId="BodyText">
    <w:name w:val="Body Text"/>
    <w:basedOn w:val="Normal"/>
    <w:link w:val="BodyTextChar"/>
    <w:uiPriority w:val="99"/>
    <w:semiHidden/>
    <w:rsid w:val="009A0062"/>
    <w:pPr>
      <w:spacing w:after="120"/>
    </w:pPr>
  </w:style>
  <w:style w:type="character" w:customStyle="1" w:styleId="BodyTextChar">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0236CA"/>
    <w:rPr>
      <w:rFonts w:ascii="Tahoma" w:hAnsi="Tahoma" w:cs="Tahoma"/>
      <w:sz w:val="16"/>
      <w:szCs w:val="16"/>
    </w:rPr>
  </w:style>
  <w:style w:type="character" w:customStyle="1" w:styleId="BalloonTextChar">
    <w:name w:val="Balloon Text Char"/>
    <w:basedOn w:val="DefaultParagraphFont"/>
    <w:link w:val="BalloonText"/>
    <w:uiPriority w:val="99"/>
    <w:semiHidden/>
    <w:rsid w:val="000236CA"/>
    <w:rPr>
      <w:rFonts w:ascii="Tahoma" w:hAnsi="Tahoma" w:cs="Tahoma"/>
      <w:sz w:val="16"/>
      <w:szCs w:val="16"/>
    </w:rPr>
  </w:style>
  <w:style w:type="paragraph" w:styleId="Bibliography">
    <w:name w:val="Bibliography"/>
    <w:basedOn w:val="Normal"/>
    <w:next w:val="Normal"/>
    <w:uiPriority w:val="37"/>
    <w:semiHidden/>
    <w:rsid w:val="00DD394B"/>
  </w:style>
  <w:style w:type="paragraph" w:styleId="BodyText2">
    <w:name w:val="Body Text 2"/>
    <w:basedOn w:val="Normal"/>
    <w:link w:val="BodyText2Char"/>
    <w:uiPriority w:val="99"/>
    <w:semiHidden/>
    <w:rsid w:val="00DD394B"/>
    <w:pPr>
      <w:spacing w:after="120" w:line="480" w:lineRule="auto"/>
    </w:pPr>
  </w:style>
  <w:style w:type="character" w:customStyle="1" w:styleId="BodyText2Char">
    <w:name w:val="Body Text 2 Char"/>
    <w:basedOn w:val="DefaultParagraphFont"/>
    <w:link w:val="BodyText2"/>
    <w:uiPriority w:val="99"/>
    <w:semiHidden/>
    <w:rsid w:val="00DD394B"/>
  </w:style>
  <w:style w:type="paragraph" w:styleId="BodyText3">
    <w:name w:val="Body Text 3"/>
    <w:basedOn w:val="Normal"/>
    <w:link w:val="BodyText3Char"/>
    <w:uiPriority w:val="99"/>
    <w:semiHidden/>
    <w:rsid w:val="00DD394B"/>
    <w:pPr>
      <w:spacing w:after="120"/>
    </w:pPr>
    <w:rPr>
      <w:sz w:val="16"/>
      <w:szCs w:val="16"/>
    </w:rPr>
  </w:style>
  <w:style w:type="character" w:customStyle="1" w:styleId="BodyText3Char">
    <w:name w:val="Body Text 3 Char"/>
    <w:basedOn w:val="DefaultParagraphFont"/>
    <w:link w:val="BodyText3"/>
    <w:uiPriority w:val="99"/>
    <w:semiHidden/>
    <w:rsid w:val="00DD394B"/>
    <w:rPr>
      <w:sz w:val="16"/>
      <w:szCs w:val="16"/>
    </w:rPr>
  </w:style>
  <w:style w:type="paragraph" w:styleId="BodyTextFirstIndent">
    <w:name w:val="Body Text First Indent"/>
    <w:basedOn w:val="BodyText"/>
    <w:link w:val="BodyTextFirstIndentChar"/>
    <w:uiPriority w:val="99"/>
    <w:semiHidden/>
    <w:rsid w:val="00DD394B"/>
    <w:pPr>
      <w:spacing w:after="0"/>
      <w:ind w:firstLine="360"/>
    </w:pPr>
  </w:style>
  <w:style w:type="character" w:customStyle="1" w:styleId="BodyTextFirstIndentChar">
    <w:name w:val="Body Text First Indent Char"/>
    <w:basedOn w:val="BodyTextChar"/>
    <w:link w:val="BodyTextFirstIndent"/>
    <w:uiPriority w:val="99"/>
    <w:semiHidden/>
    <w:rsid w:val="00DD394B"/>
  </w:style>
  <w:style w:type="paragraph" w:styleId="BodyTextIndent">
    <w:name w:val="Body Text Indent"/>
    <w:basedOn w:val="Normal"/>
    <w:link w:val="BodyTextIndentChar"/>
    <w:uiPriority w:val="99"/>
    <w:semiHidden/>
    <w:rsid w:val="00DD394B"/>
    <w:pPr>
      <w:spacing w:after="120"/>
      <w:ind w:left="360"/>
    </w:pPr>
  </w:style>
  <w:style w:type="character" w:customStyle="1" w:styleId="BodyTextIndentChar">
    <w:name w:val="Body Text Indent Char"/>
    <w:basedOn w:val="DefaultParagraphFont"/>
    <w:link w:val="BodyTextIndent"/>
    <w:uiPriority w:val="99"/>
    <w:semiHidden/>
    <w:rsid w:val="00DD394B"/>
  </w:style>
  <w:style w:type="paragraph" w:styleId="BodyTextFirstIndent2">
    <w:name w:val="Body Text First Indent 2"/>
    <w:basedOn w:val="BodyTextIndent"/>
    <w:link w:val="BodyTextFirstIndent2Char"/>
    <w:uiPriority w:val="99"/>
    <w:semiHidden/>
    <w:rsid w:val="00DD394B"/>
    <w:pPr>
      <w:spacing w:after="0"/>
      <w:ind w:firstLine="360"/>
    </w:pPr>
  </w:style>
  <w:style w:type="character" w:customStyle="1" w:styleId="BodyTextFirstIndent2Char">
    <w:name w:val="Body Text First Indent 2 Char"/>
    <w:basedOn w:val="BodyTextIndentChar"/>
    <w:link w:val="BodyTextFirstIndent2"/>
    <w:uiPriority w:val="99"/>
    <w:semiHidden/>
    <w:rsid w:val="00DD394B"/>
  </w:style>
  <w:style w:type="paragraph" w:styleId="BodyTextIndent2">
    <w:name w:val="Body Text Indent 2"/>
    <w:basedOn w:val="Normal"/>
    <w:link w:val="BodyTextIndent2Char"/>
    <w:uiPriority w:val="99"/>
    <w:semiHidden/>
    <w:rsid w:val="00DD394B"/>
    <w:pPr>
      <w:spacing w:after="120" w:line="480" w:lineRule="auto"/>
      <w:ind w:left="360"/>
    </w:pPr>
  </w:style>
  <w:style w:type="character" w:customStyle="1" w:styleId="BodyTextIndent2Char">
    <w:name w:val="Body Text Indent 2 Char"/>
    <w:basedOn w:val="DefaultParagraphFont"/>
    <w:link w:val="BodyTextIndent2"/>
    <w:uiPriority w:val="99"/>
    <w:semiHidden/>
    <w:rsid w:val="00DD394B"/>
  </w:style>
  <w:style w:type="paragraph" w:styleId="BodyTextIndent3">
    <w:name w:val="Body Text Indent 3"/>
    <w:basedOn w:val="Normal"/>
    <w:link w:val="BodyTextIndent3Char"/>
    <w:uiPriority w:val="99"/>
    <w:semiHidden/>
    <w:rsid w:val="00DD39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D394B"/>
    <w:rPr>
      <w:sz w:val="16"/>
      <w:szCs w:val="16"/>
    </w:rPr>
  </w:style>
  <w:style w:type="character" w:styleId="BookTitle">
    <w:name w:val="Book Title"/>
    <w:basedOn w:val="DefaultParagraphFont"/>
    <w:uiPriority w:val="33"/>
    <w:semiHidden/>
    <w:rsid w:val="00DD394B"/>
    <w:rPr>
      <w:b/>
      <w:bCs/>
      <w:smallCaps/>
      <w:spacing w:val="5"/>
    </w:rPr>
  </w:style>
  <w:style w:type="paragraph" w:styleId="Caption">
    <w:name w:val="caption"/>
    <w:basedOn w:val="Normal"/>
    <w:next w:val="Normal"/>
    <w:uiPriority w:val="35"/>
    <w:semiHidden/>
    <w:qFormat/>
    <w:rsid w:val="00DD394B"/>
    <w:pPr>
      <w:spacing w:after="200"/>
    </w:pPr>
    <w:rPr>
      <w:b/>
      <w:bCs/>
      <w:color w:val="4F81BD" w:themeColor="accent1"/>
      <w:sz w:val="18"/>
      <w:szCs w:val="18"/>
    </w:rPr>
  </w:style>
  <w:style w:type="paragraph" w:styleId="Closing">
    <w:name w:val="Closing"/>
    <w:basedOn w:val="Normal"/>
    <w:link w:val="ClosingChar"/>
    <w:uiPriority w:val="99"/>
    <w:semiHidden/>
    <w:rsid w:val="00DD394B"/>
    <w:pPr>
      <w:ind w:left="4320"/>
    </w:pPr>
  </w:style>
  <w:style w:type="character" w:customStyle="1" w:styleId="ClosingChar">
    <w:name w:val="Closing Char"/>
    <w:basedOn w:val="DefaultParagraphFont"/>
    <w:link w:val="Closing"/>
    <w:uiPriority w:val="99"/>
    <w:semiHidden/>
    <w:rsid w:val="00DD394B"/>
  </w:style>
  <w:style w:type="character" w:styleId="CommentReference">
    <w:name w:val="annotation reference"/>
    <w:basedOn w:val="DefaultParagraphFont"/>
    <w:uiPriority w:val="99"/>
    <w:semiHidden/>
    <w:rsid w:val="00DD394B"/>
    <w:rPr>
      <w:sz w:val="16"/>
      <w:szCs w:val="16"/>
    </w:rPr>
  </w:style>
  <w:style w:type="paragraph" w:styleId="CommentText">
    <w:name w:val="annotation text"/>
    <w:basedOn w:val="Normal"/>
    <w:link w:val="CommentTextChar"/>
    <w:uiPriority w:val="99"/>
    <w:semiHidden/>
    <w:rsid w:val="00DD394B"/>
    <w:rPr>
      <w:sz w:val="20"/>
      <w:szCs w:val="20"/>
    </w:rPr>
  </w:style>
  <w:style w:type="character" w:customStyle="1" w:styleId="CommentTextChar">
    <w:name w:val="Comment Text Char"/>
    <w:basedOn w:val="DefaultParagraphFont"/>
    <w:link w:val="CommentText"/>
    <w:uiPriority w:val="99"/>
    <w:semiHidden/>
    <w:rsid w:val="00DD394B"/>
    <w:rPr>
      <w:sz w:val="20"/>
      <w:szCs w:val="20"/>
    </w:rPr>
  </w:style>
  <w:style w:type="paragraph" w:styleId="CommentSubject">
    <w:name w:val="annotation subject"/>
    <w:basedOn w:val="CommentText"/>
    <w:next w:val="CommentText"/>
    <w:link w:val="CommentSubjectChar"/>
    <w:uiPriority w:val="99"/>
    <w:semiHidden/>
    <w:rsid w:val="00DD394B"/>
    <w:rPr>
      <w:b/>
      <w:bCs/>
    </w:rPr>
  </w:style>
  <w:style w:type="character" w:customStyle="1" w:styleId="CommentSubjectChar">
    <w:name w:val="Comment Subject Char"/>
    <w:basedOn w:val="CommentTextChar"/>
    <w:link w:val="CommentSubject"/>
    <w:uiPriority w:val="99"/>
    <w:semiHidden/>
    <w:rsid w:val="00DD394B"/>
    <w:rPr>
      <w:b/>
      <w:bCs/>
      <w:sz w:val="20"/>
      <w:szCs w:val="20"/>
    </w:rPr>
  </w:style>
  <w:style w:type="paragraph" w:styleId="Date">
    <w:name w:val="Date"/>
    <w:basedOn w:val="Normal"/>
    <w:next w:val="Normal"/>
    <w:link w:val="DateChar"/>
    <w:uiPriority w:val="99"/>
    <w:semiHidden/>
    <w:rsid w:val="00DD394B"/>
  </w:style>
  <w:style w:type="character" w:customStyle="1" w:styleId="DateChar">
    <w:name w:val="Date Char"/>
    <w:basedOn w:val="DefaultParagraphFont"/>
    <w:link w:val="Date"/>
    <w:uiPriority w:val="99"/>
    <w:semiHidden/>
    <w:rsid w:val="00DD394B"/>
  </w:style>
  <w:style w:type="paragraph" w:styleId="DocumentMap">
    <w:name w:val="Document Map"/>
    <w:basedOn w:val="Normal"/>
    <w:link w:val="DocumentMapChar"/>
    <w:uiPriority w:val="99"/>
    <w:semiHidden/>
    <w:rsid w:val="00DD394B"/>
    <w:rPr>
      <w:rFonts w:ascii="Tahoma" w:hAnsi="Tahoma" w:cs="Tahoma"/>
      <w:sz w:val="16"/>
      <w:szCs w:val="16"/>
    </w:rPr>
  </w:style>
  <w:style w:type="character" w:customStyle="1" w:styleId="DocumentMapChar">
    <w:name w:val="Document Map Char"/>
    <w:basedOn w:val="DefaultParagraphFont"/>
    <w:link w:val="DocumentMap"/>
    <w:uiPriority w:val="99"/>
    <w:semiHidden/>
    <w:rsid w:val="00DD394B"/>
    <w:rPr>
      <w:rFonts w:ascii="Tahoma" w:hAnsi="Tahoma" w:cs="Tahoma"/>
      <w:sz w:val="16"/>
      <w:szCs w:val="16"/>
    </w:rPr>
  </w:style>
  <w:style w:type="paragraph" w:styleId="E-mailSignature">
    <w:name w:val="E-mail Signature"/>
    <w:basedOn w:val="Normal"/>
    <w:link w:val="E-mailSignatureChar"/>
    <w:uiPriority w:val="99"/>
    <w:semiHidden/>
    <w:rsid w:val="00DD394B"/>
  </w:style>
  <w:style w:type="character" w:customStyle="1" w:styleId="E-mailSignatureChar">
    <w:name w:val="E-mail Signature Char"/>
    <w:basedOn w:val="DefaultParagraphFont"/>
    <w:link w:val="E-mailSignature"/>
    <w:uiPriority w:val="99"/>
    <w:semiHidden/>
    <w:rsid w:val="00DD394B"/>
  </w:style>
  <w:style w:type="character" w:styleId="Emphasis">
    <w:name w:val="Emphasis"/>
    <w:basedOn w:val="DefaultParagraphFont"/>
    <w:uiPriority w:val="20"/>
    <w:semiHidden/>
    <w:rsid w:val="00DD394B"/>
    <w:rPr>
      <w:i/>
      <w:iCs/>
    </w:rPr>
  </w:style>
  <w:style w:type="character" w:styleId="EndnoteReference">
    <w:name w:val="endnote reference"/>
    <w:basedOn w:val="DefaultParagraphFont"/>
    <w:uiPriority w:val="99"/>
    <w:semiHidden/>
    <w:rsid w:val="00DD394B"/>
    <w:rPr>
      <w:vertAlign w:val="superscript"/>
    </w:rPr>
  </w:style>
  <w:style w:type="paragraph" w:styleId="EndnoteText">
    <w:name w:val="endnote text"/>
    <w:basedOn w:val="Normal"/>
    <w:link w:val="EndnoteTextChar"/>
    <w:uiPriority w:val="99"/>
    <w:semiHidden/>
    <w:rsid w:val="00DD394B"/>
    <w:rPr>
      <w:sz w:val="20"/>
      <w:szCs w:val="20"/>
    </w:rPr>
  </w:style>
  <w:style w:type="character" w:customStyle="1" w:styleId="EndnoteTextChar">
    <w:name w:val="Endnote Text Char"/>
    <w:basedOn w:val="DefaultParagraphFont"/>
    <w:link w:val="EndnoteText"/>
    <w:uiPriority w:val="99"/>
    <w:semiHidden/>
    <w:rsid w:val="00DD394B"/>
    <w:rPr>
      <w:sz w:val="20"/>
      <w:szCs w:val="20"/>
    </w:rPr>
  </w:style>
  <w:style w:type="character" w:styleId="FollowedHyperlink">
    <w:name w:val="FollowedHyperlink"/>
    <w:basedOn w:val="DefaultParagraphFont"/>
    <w:uiPriority w:val="99"/>
    <w:semiHidden/>
    <w:rsid w:val="00DD394B"/>
    <w:rPr>
      <w:color w:val="800080" w:themeColor="followedHyperlink"/>
      <w:u w:val="single"/>
    </w:rPr>
  </w:style>
  <w:style w:type="character" w:styleId="FootnoteReference">
    <w:name w:val="footnote reference"/>
    <w:basedOn w:val="DefaultParagraphFont"/>
    <w:semiHidden/>
    <w:rsid w:val="00DD394B"/>
    <w:rPr>
      <w:vertAlign w:val="superscript"/>
    </w:rPr>
  </w:style>
  <w:style w:type="paragraph" w:styleId="FootnoteText">
    <w:name w:val="footnote text"/>
    <w:basedOn w:val="Normal"/>
    <w:link w:val="FootnoteTextChar"/>
    <w:semiHidden/>
    <w:rsid w:val="00DD394B"/>
    <w:rPr>
      <w:sz w:val="20"/>
      <w:szCs w:val="20"/>
    </w:rPr>
  </w:style>
  <w:style w:type="character" w:customStyle="1" w:styleId="FootnoteTextChar">
    <w:name w:val="Footnote Text Char"/>
    <w:basedOn w:val="DefaultParagraphFont"/>
    <w:link w:val="FootnoteText"/>
    <w:uiPriority w:val="99"/>
    <w:semiHidden/>
    <w:rsid w:val="00DD394B"/>
    <w:rPr>
      <w:sz w:val="20"/>
      <w:szCs w:val="20"/>
    </w:rPr>
  </w:style>
  <w:style w:type="character" w:styleId="HTMLAcronym">
    <w:name w:val="HTML Acronym"/>
    <w:basedOn w:val="DefaultParagraphFont"/>
    <w:uiPriority w:val="99"/>
    <w:semiHidden/>
    <w:rsid w:val="00DD394B"/>
  </w:style>
  <w:style w:type="paragraph" w:styleId="HTMLAddress">
    <w:name w:val="HTML Address"/>
    <w:basedOn w:val="Normal"/>
    <w:link w:val="HTMLAddressChar"/>
    <w:uiPriority w:val="99"/>
    <w:semiHidden/>
    <w:rsid w:val="00DD394B"/>
    <w:rPr>
      <w:i/>
      <w:iCs/>
    </w:rPr>
  </w:style>
  <w:style w:type="character" w:customStyle="1" w:styleId="HTMLAddressChar">
    <w:name w:val="HTML Address Char"/>
    <w:basedOn w:val="DefaultParagraphFont"/>
    <w:link w:val="HTMLAddress"/>
    <w:uiPriority w:val="99"/>
    <w:semiHidden/>
    <w:rsid w:val="00DD394B"/>
    <w:rPr>
      <w:i/>
      <w:iCs/>
    </w:rPr>
  </w:style>
  <w:style w:type="character" w:styleId="HTMLCite">
    <w:name w:val="HTML Cite"/>
    <w:basedOn w:val="DefaultParagraphFont"/>
    <w:uiPriority w:val="99"/>
    <w:semiHidden/>
    <w:rsid w:val="00DD394B"/>
    <w:rPr>
      <w:i/>
      <w:iCs/>
    </w:rPr>
  </w:style>
  <w:style w:type="character" w:styleId="HTMLCode">
    <w:name w:val="HTML Code"/>
    <w:basedOn w:val="DefaultParagraphFont"/>
    <w:uiPriority w:val="99"/>
    <w:semiHidden/>
    <w:rsid w:val="00DD394B"/>
    <w:rPr>
      <w:rFonts w:ascii="Consolas" w:hAnsi="Consolas"/>
      <w:sz w:val="20"/>
      <w:szCs w:val="20"/>
    </w:rPr>
  </w:style>
  <w:style w:type="character" w:styleId="HTMLDefinition">
    <w:name w:val="HTML Definition"/>
    <w:basedOn w:val="DefaultParagraphFont"/>
    <w:uiPriority w:val="99"/>
    <w:semiHidden/>
    <w:rsid w:val="00DD394B"/>
    <w:rPr>
      <w:i/>
      <w:iCs/>
    </w:rPr>
  </w:style>
  <w:style w:type="character" w:styleId="HTMLKeyboard">
    <w:name w:val="HTML Keyboard"/>
    <w:basedOn w:val="DefaultParagraphFont"/>
    <w:uiPriority w:val="99"/>
    <w:semiHidden/>
    <w:rsid w:val="00DD394B"/>
    <w:rPr>
      <w:rFonts w:ascii="Consolas" w:hAnsi="Consolas"/>
      <w:sz w:val="20"/>
      <w:szCs w:val="20"/>
    </w:rPr>
  </w:style>
  <w:style w:type="paragraph" w:styleId="HTMLPreformatted">
    <w:name w:val="HTML Preformatted"/>
    <w:basedOn w:val="Normal"/>
    <w:link w:val="HTMLPreformattedChar"/>
    <w:uiPriority w:val="99"/>
    <w:semiHidden/>
    <w:rsid w:val="00DD394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394B"/>
    <w:rPr>
      <w:rFonts w:ascii="Consolas" w:hAnsi="Consolas"/>
      <w:sz w:val="20"/>
      <w:szCs w:val="20"/>
    </w:rPr>
  </w:style>
  <w:style w:type="character" w:styleId="HTMLSample">
    <w:name w:val="HTML Sample"/>
    <w:basedOn w:val="DefaultParagraphFont"/>
    <w:uiPriority w:val="99"/>
    <w:semiHidden/>
    <w:rsid w:val="00DD394B"/>
    <w:rPr>
      <w:rFonts w:ascii="Consolas" w:hAnsi="Consolas"/>
      <w:sz w:val="24"/>
      <w:szCs w:val="24"/>
    </w:rPr>
  </w:style>
  <w:style w:type="character" w:styleId="HTMLTypewriter">
    <w:name w:val="HTML Typewriter"/>
    <w:basedOn w:val="DefaultParagraphFont"/>
    <w:uiPriority w:val="99"/>
    <w:semiHidden/>
    <w:rsid w:val="00DD394B"/>
    <w:rPr>
      <w:rFonts w:ascii="Consolas" w:hAnsi="Consolas"/>
      <w:sz w:val="20"/>
      <w:szCs w:val="20"/>
    </w:rPr>
  </w:style>
  <w:style w:type="character" w:styleId="HTMLVariable">
    <w:name w:val="HTML Variable"/>
    <w:basedOn w:val="DefaultParagraphFont"/>
    <w:uiPriority w:val="99"/>
    <w:semiHidden/>
    <w:rsid w:val="00DD394B"/>
    <w:rPr>
      <w:i/>
      <w:iCs/>
    </w:rPr>
  </w:style>
  <w:style w:type="character" w:styleId="Hyperlink">
    <w:name w:val="Hyperlink"/>
    <w:basedOn w:val="DefaultParagraphFont"/>
    <w:uiPriority w:val="99"/>
    <w:semiHidden/>
    <w:rsid w:val="00DD394B"/>
    <w:rPr>
      <w:color w:val="0000FF" w:themeColor="hyperlink"/>
      <w:u w:val="single"/>
    </w:rPr>
  </w:style>
  <w:style w:type="paragraph" w:styleId="Index2">
    <w:name w:val="index 2"/>
    <w:basedOn w:val="Normal"/>
    <w:next w:val="Normal"/>
    <w:autoRedefine/>
    <w:uiPriority w:val="99"/>
    <w:semiHidden/>
    <w:rsid w:val="00DD394B"/>
    <w:pPr>
      <w:ind w:left="480" w:hanging="240"/>
    </w:pPr>
  </w:style>
  <w:style w:type="paragraph" w:styleId="Index3">
    <w:name w:val="index 3"/>
    <w:basedOn w:val="Normal"/>
    <w:next w:val="Normal"/>
    <w:autoRedefine/>
    <w:uiPriority w:val="99"/>
    <w:semiHidden/>
    <w:rsid w:val="00DD394B"/>
    <w:pPr>
      <w:ind w:left="720" w:hanging="240"/>
    </w:pPr>
  </w:style>
  <w:style w:type="paragraph" w:styleId="Index4">
    <w:name w:val="index 4"/>
    <w:basedOn w:val="Normal"/>
    <w:next w:val="Normal"/>
    <w:autoRedefine/>
    <w:uiPriority w:val="99"/>
    <w:semiHidden/>
    <w:rsid w:val="00DD394B"/>
    <w:pPr>
      <w:ind w:left="960" w:hanging="240"/>
    </w:pPr>
  </w:style>
  <w:style w:type="paragraph" w:styleId="Index5">
    <w:name w:val="index 5"/>
    <w:basedOn w:val="Normal"/>
    <w:next w:val="Normal"/>
    <w:autoRedefine/>
    <w:uiPriority w:val="99"/>
    <w:semiHidden/>
    <w:rsid w:val="00DD394B"/>
    <w:pPr>
      <w:ind w:left="1200" w:hanging="240"/>
    </w:pPr>
  </w:style>
  <w:style w:type="paragraph" w:styleId="Index6">
    <w:name w:val="index 6"/>
    <w:basedOn w:val="Normal"/>
    <w:next w:val="Normal"/>
    <w:autoRedefine/>
    <w:uiPriority w:val="99"/>
    <w:semiHidden/>
    <w:rsid w:val="00DD394B"/>
    <w:pPr>
      <w:ind w:left="1440" w:hanging="240"/>
    </w:pPr>
  </w:style>
  <w:style w:type="paragraph" w:styleId="Index7">
    <w:name w:val="index 7"/>
    <w:basedOn w:val="Normal"/>
    <w:next w:val="Normal"/>
    <w:autoRedefine/>
    <w:uiPriority w:val="99"/>
    <w:semiHidden/>
    <w:rsid w:val="00DD394B"/>
    <w:pPr>
      <w:ind w:left="1680" w:hanging="240"/>
    </w:pPr>
  </w:style>
  <w:style w:type="paragraph" w:styleId="Index8">
    <w:name w:val="index 8"/>
    <w:basedOn w:val="Normal"/>
    <w:next w:val="Normal"/>
    <w:autoRedefine/>
    <w:uiPriority w:val="99"/>
    <w:semiHidden/>
    <w:rsid w:val="00DD394B"/>
    <w:pPr>
      <w:ind w:left="1920" w:hanging="240"/>
    </w:pPr>
  </w:style>
  <w:style w:type="paragraph" w:styleId="Index9">
    <w:name w:val="index 9"/>
    <w:basedOn w:val="Normal"/>
    <w:next w:val="Normal"/>
    <w:autoRedefine/>
    <w:uiPriority w:val="99"/>
    <w:semiHidden/>
    <w:rsid w:val="00DD394B"/>
    <w:pPr>
      <w:ind w:left="2160" w:hanging="240"/>
    </w:pPr>
  </w:style>
  <w:style w:type="character" w:styleId="IntenseEmphasis">
    <w:name w:val="Intense Emphasis"/>
    <w:basedOn w:val="DefaultParagraphFont"/>
    <w:uiPriority w:val="21"/>
    <w:semiHidden/>
    <w:rsid w:val="00DD394B"/>
    <w:rPr>
      <w:b/>
      <w:bCs/>
      <w:i/>
      <w:iCs/>
      <w:color w:val="4F81BD" w:themeColor="accent1"/>
    </w:rPr>
  </w:style>
  <w:style w:type="paragraph" w:styleId="IntenseQuote">
    <w:name w:val="Intense Quote"/>
    <w:basedOn w:val="Normal"/>
    <w:next w:val="Normal"/>
    <w:link w:val="IntenseQuoteChar"/>
    <w:uiPriority w:val="30"/>
    <w:semiHidden/>
    <w:rsid w:val="00DD394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DD394B"/>
    <w:rPr>
      <w:b/>
      <w:bCs/>
      <w:i/>
      <w:iCs/>
      <w:color w:val="4F81BD" w:themeColor="accent1"/>
    </w:rPr>
  </w:style>
  <w:style w:type="character" w:styleId="IntenseReference">
    <w:name w:val="Intense Reference"/>
    <w:basedOn w:val="DefaultParagraphFont"/>
    <w:uiPriority w:val="32"/>
    <w:semiHidden/>
    <w:rsid w:val="00DD394B"/>
    <w:rPr>
      <w:b/>
      <w:bCs/>
      <w:smallCaps/>
      <w:color w:val="C0504D" w:themeColor="accent2"/>
      <w:spacing w:val="5"/>
      <w:u w:val="single"/>
    </w:rPr>
  </w:style>
  <w:style w:type="character" w:styleId="LineNumber">
    <w:name w:val="line number"/>
    <w:basedOn w:val="DefaultParagraphFont"/>
    <w:uiPriority w:val="99"/>
    <w:semiHidden/>
    <w:rsid w:val="00DD394B"/>
  </w:style>
  <w:style w:type="paragraph" w:styleId="List">
    <w:name w:val="List"/>
    <w:basedOn w:val="Normal"/>
    <w:uiPriority w:val="99"/>
    <w:semiHidden/>
    <w:rsid w:val="00DD394B"/>
    <w:pPr>
      <w:ind w:left="360" w:hanging="360"/>
      <w:contextualSpacing/>
    </w:pPr>
  </w:style>
  <w:style w:type="paragraph" w:styleId="List2">
    <w:name w:val="List 2"/>
    <w:basedOn w:val="Normal"/>
    <w:uiPriority w:val="99"/>
    <w:semiHidden/>
    <w:rsid w:val="00DD394B"/>
    <w:pPr>
      <w:ind w:left="720" w:hanging="360"/>
      <w:contextualSpacing/>
    </w:pPr>
  </w:style>
  <w:style w:type="paragraph" w:styleId="List3">
    <w:name w:val="List 3"/>
    <w:basedOn w:val="Normal"/>
    <w:uiPriority w:val="99"/>
    <w:semiHidden/>
    <w:rsid w:val="00DD394B"/>
    <w:pPr>
      <w:ind w:left="1080" w:hanging="360"/>
      <w:contextualSpacing/>
    </w:pPr>
  </w:style>
  <w:style w:type="paragraph" w:styleId="List4">
    <w:name w:val="List 4"/>
    <w:basedOn w:val="Normal"/>
    <w:uiPriority w:val="99"/>
    <w:semiHidden/>
    <w:rsid w:val="00DD394B"/>
    <w:pPr>
      <w:ind w:left="1440" w:hanging="360"/>
      <w:contextualSpacing/>
    </w:pPr>
  </w:style>
  <w:style w:type="paragraph" w:styleId="List5">
    <w:name w:val="List 5"/>
    <w:basedOn w:val="Normal"/>
    <w:uiPriority w:val="99"/>
    <w:semiHidden/>
    <w:rsid w:val="00DD394B"/>
    <w:pPr>
      <w:ind w:left="1800" w:hanging="360"/>
      <w:contextualSpacing/>
    </w:pPr>
  </w:style>
  <w:style w:type="paragraph" w:styleId="ListBullet">
    <w:name w:val="List Bullet"/>
    <w:basedOn w:val="Normal"/>
    <w:uiPriority w:val="99"/>
    <w:semiHidden/>
    <w:rsid w:val="00DD394B"/>
    <w:pPr>
      <w:numPr>
        <w:numId w:val="10"/>
      </w:numPr>
      <w:contextualSpacing/>
    </w:pPr>
  </w:style>
  <w:style w:type="paragraph" w:styleId="ListBullet2">
    <w:name w:val="List Bullet 2"/>
    <w:basedOn w:val="Normal"/>
    <w:uiPriority w:val="99"/>
    <w:semiHidden/>
    <w:rsid w:val="00DD394B"/>
    <w:pPr>
      <w:numPr>
        <w:numId w:val="11"/>
      </w:numPr>
      <w:contextualSpacing/>
    </w:pPr>
  </w:style>
  <w:style w:type="paragraph" w:styleId="ListBullet3">
    <w:name w:val="List Bullet 3"/>
    <w:basedOn w:val="Normal"/>
    <w:uiPriority w:val="99"/>
    <w:semiHidden/>
    <w:rsid w:val="00DD394B"/>
    <w:pPr>
      <w:numPr>
        <w:numId w:val="12"/>
      </w:numPr>
      <w:contextualSpacing/>
    </w:pPr>
  </w:style>
  <w:style w:type="paragraph" w:styleId="ListBullet4">
    <w:name w:val="List Bullet 4"/>
    <w:basedOn w:val="Normal"/>
    <w:uiPriority w:val="99"/>
    <w:semiHidden/>
    <w:rsid w:val="00DD394B"/>
    <w:pPr>
      <w:numPr>
        <w:numId w:val="13"/>
      </w:numPr>
      <w:contextualSpacing/>
    </w:pPr>
  </w:style>
  <w:style w:type="paragraph" w:styleId="ListBullet5">
    <w:name w:val="List Bullet 5"/>
    <w:basedOn w:val="Normal"/>
    <w:uiPriority w:val="99"/>
    <w:semiHidden/>
    <w:rsid w:val="00DD394B"/>
    <w:pPr>
      <w:numPr>
        <w:numId w:val="14"/>
      </w:numPr>
      <w:contextualSpacing/>
    </w:pPr>
  </w:style>
  <w:style w:type="paragraph" w:styleId="ListContinue">
    <w:name w:val="List Continue"/>
    <w:basedOn w:val="Normal"/>
    <w:uiPriority w:val="99"/>
    <w:semiHidden/>
    <w:rsid w:val="00DD394B"/>
    <w:pPr>
      <w:spacing w:after="120"/>
      <w:ind w:left="360"/>
      <w:contextualSpacing/>
    </w:pPr>
  </w:style>
  <w:style w:type="paragraph" w:styleId="ListContinue2">
    <w:name w:val="List Continue 2"/>
    <w:basedOn w:val="Normal"/>
    <w:uiPriority w:val="99"/>
    <w:semiHidden/>
    <w:rsid w:val="00DD394B"/>
    <w:pPr>
      <w:spacing w:after="120"/>
      <w:ind w:left="720"/>
      <w:contextualSpacing/>
    </w:pPr>
  </w:style>
  <w:style w:type="paragraph" w:styleId="ListContinue3">
    <w:name w:val="List Continue 3"/>
    <w:basedOn w:val="Normal"/>
    <w:uiPriority w:val="99"/>
    <w:semiHidden/>
    <w:rsid w:val="00DD394B"/>
    <w:pPr>
      <w:spacing w:after="120"/>
      <w:ind w:left="1080"/>
      <w:contextualSpacing/>
    </w:pPr>
  </w:style>
  <w:style w:type="paragraph" w:styleId="ListContinue4">
    <w:name w:val="List Continue 4"/>
    <w:basedOn w:val="Normal"/>
    <w:uiPriority w:val="99"/>
    <w:semiHidden/>
    <w:rsid w:val="00DD394B"/>
    <w:pPr>
      <w:spacing w:after="120"/>
      <w:ind w:left="1440"/>
      <w:contextualSpacing/>
    </w:pPr>
  </w:style>
  <w:style w:type="paragraph" w:styleId="ListContinue5">
    <w:name w:val="List Continue 5"/>
    <w:basedOn w:val="Normal"/>
    <w:uiPriority w:val="99"/>
    <w:semiHidden/>
    <w:rsid w:val="00DD394B"/>
    <w:pPr>
      <w:spacing w:after="120"/>
      <w:ind w:left="1800"/>
      <w:contextualSpacing/>
    </w:pPr>
  </w:style>
  <w:style w:type="paragraph" w:styleId="ListNumber">
    <w:name w:val="List Number"/>
    <w:basedOn w:val="Normal"/>
    <w:uiPriority w:val="99"/>
    <w:semiHidden/>
    <w:rsid w:val="00DD394B"/>
    <w:pPr>
      <w:numPr>
        <w:numId w:val="15"/>
      </w:numPr>
      <w:contextualSpacing/>
    </w:pPr>
  </w:style>
  <w:style w:type="paragraph" w:styleId="ListNumber2">
    <w:name w:val="List Number 2"/>
    <w:basedOn w:val="Normal"/>
    <w:uiPriority w:val="99"/>
    <w:semiHidden/>
    <w:rsid w:val="00DD394B"/>
    <w:pPr>
      <w:numPr>
        <w:numId w:val="16"/>
      </w:numPr>
      <w:contextualSpacing/>
    </w:pPr>
  </w:style>
  <w:style w:type="paragraph" w:styleId="ListNumber3">
    <w:name w:val="List Number 3"/>
    <w:basedOn w:val="Normal"/>
    <w:uiPriority w:val="99"/>
    <w:semiHidden/>
    <w:rsid w:val="00DD394B"/>
    <w:pPr>
      <w:numPr>
        <w:numId w:val="17"/>
      </w:numPr>
      <w:contextualSpacing/>
    </w:pPr>
  </w:style>
  <w:style w:type="paragraph" w:styleId="ListNumber4">
    <w:name w:val="List Number 4"/>
    <w:basedOn w:val="Normal"/>
    <w:uiPriority w:val="99"/>
    <w:semiHidden/>
    <w:rsid w:val="00DD394B"/>
    <w:pPr>
      <w:numPr>
        <w:numId w:val="18"/>
      </w:numPr>
      <w:contextualSpacing/>
    </w:pPr>
  </w:style>
  <w:style w:type="paragraph" w:styleId="ListNumber5">
    <w:name w:val="List Number 5"/>
    <w:basedOn w:val="Normal"/>
    <w:uiPriority w:val="99"/>
    <w:semiHidden/>
    <w:rsid w:val="00DD394B"/>
    <w:pPr>
      <w:numPr>
        <w:numId w:val="19"/>
      </w:numPr>
      <w:contextualSpacing/>
    </w:pPr>
  </w:style>
  <w:style w:type="paragraph" w:styleId="MacroText">
    <w:name w:val="macro"/>
    <w:link w:val="MacroTextChar"/>
    <w:uiPriority w:val="99"/>
    <w:semiHidden/>
    <w:rsid w:val="00DD394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DD394B"/>
    <w:rPr>
      <w:rFonts w:ascii="Consolas" w:hAnsi="Consolas"/>
      <w:sz w:val="20"/>
      <w:szCs w:val="20"/>
    </w:rPr>
  </w:style>
  <w:style w:type="paragraph" w:styleId="NoSpacing">
    <w:name w:val="No Spacing"/>
    <w:uiPriority w:val="1"/>
    <w:semiHidden/>
    <w:rsid w:val="00DD394B"/>
  </w:style>
  <w:style w:type="paragraph" w:styleId="NormalWeb">
    <w:name w:val="Normal (Web)"/>
    <w:basedOn w:val="Normal"/>
    <w:uiPriority w:val="99"/>
    <w:semiHidden/>
    <w:rsid w:val="00DD394B"/>
    <w:rPr>
      <w:rFonts w:cs="Times New Roman"/>
    </w:rPr>
  </w:style>
  <w:style w:type="paragraph" w:styleId="NormalIndent">
    <w:name w:val="Normal Indent"/>
    <w:basedOn w:val="Normal"/>
    <w:uiPriority w:val="99"/>
    <w:semiHidden/>
    <w:rsid w:val="00DD394B"/>
    <w:pPr>
      <w:ind w:left="720"/>
    </w:pPr>
  </w:style>
  <w:style w:type="paragraph" w:styleId="NoteHeading">
    <w:name w:val="Note Heading"/>
    <w:basedOn w:val="Normal"/>
    <w:next w:val="Normal"/>
    <w:link w:val="NoteHeadingChar"/>
    <w:uiPriority w:val="99"/>
    <w:semiHidden/>
    <w:rsid w:val="00DD394B"/>
  </w:style>
  <w:style w:type="character" w:customStyle="1" w:styleId="NoteHeadingChar">
    <w:name w:val="Note Heading Char"/>
    <w:basedOn w:val="DefaultParagraphFont"/>
    <w:link w:val="NoteHeading"/>
    <w:uiPriority w:val="99"/>
    <w:semiHidden/>
    <w:rsid w:val="00DD394B"/>
  </w:style>
  <w:style w:type="character" w:styleId="PageNumber">
    <w:name w:val="page number"/>
    <w:basedOn w:val="DefaultParagraphFont"/>
    <w:uiPriority w:val="99"/>
    <w:semiHidden/>
    <w:rsid w:val="00DD394B"/>
  </w:style>
  <w:style w:type="character" w:styleId="PlaceholderText">
    <w:name w:val="Placeholder Text"/>
    <w:basedOn w:val="DefaultParagraphFont"/>
    <w:uiPriority w:val="99"/>
    <w:semiHidden/>
    <w:rsid w:val="00DD394B"/>
    <w:rPr>
      <w:color w:val="808080"/>
    </w:rPr>
  </w:style>
  <w:style w:type="paragraph" w:styleId="PlainText">
    <w:name w:val="Plain Text"/>
    <w:basedOn w:val="Normal"/>
    <w:link w:val="PlainTextChar"/>
    <w:uiPriority w:val="99"/>
    <w:semiHidden/>
    <w:rsid w:val="00DD394B"/>
    <w:rPr>
      <w:rFonts w:ascii="Consolas" w:hAnsi="Consolas"/>
      <w:sz w:val="21"/>
      <w:szCs w:val="21"/>
    </w:rPr>
  </w:style>
  <w:style w:type="character" w:customStyle="1" w:styleId="PlainTextChar">
    <w:name w:val="Plain Text Char"/>
    <w:basedOn w:val="DefaultParagraphFont"/>
    <w:link w:val="PlainText"/>
    <w:uiPriority w:val="99"/>
    <w:semiHidden/>
    <w:rsid w:val="00DD394B"/>
    <w:rPr>
      <w:rFonts w:ascii="Consolas" w:hAnsi="Consolas"/>
      <w:sz w:val="21"/>
      <w:szCs w:val="21"/>
    </w:rPr>
  </w:style>
  <w:style w:type="paragraph" w:styleId="Quote">
    <w:name w:val="Quote"/>
    <w:basedOn w:val="Normal"/>
    <w:next w:val="Normal"/>
    <w:link w:val="QuoteChar"/>
    <w:uiPriority w:val="29"/>
    <w:semiHidden/>
    <w:rsid w:val="00DD394B"/>
    <w:rPr>
      <w:i/>
      <w:iCs/>
      <w:color w:val="000000" w:themeColor="text1"/>
    </w:rPr>
  </w:style>
  <w:style w:type="character" w:customStyle="1" w:styleId="QuoteChar">
    <w:name w:val="Quote Char"/>
    <w:basedOn w:val="DefaultParagraphFont"/>
    <w:link w:val="Quote"/>
    <w:uiPriority w:val="29"/>
    <w:semiHidden/>
    <w:rsid w:val="00DD394B"/>
    <w:rPr>
      <w:i/>
      <w:iCs/>
      <w:color w:val="000000" w:themeColor="text1"/>
    </w:rPr>
  </w:style>
  <w:style w:type="paragraph" w:styleId="Salutation">
    <w:name w:val="Salutation"/>
    <w:basedOn w:val="Normal"/>
    <w:next w:val="Normal"/>
    <w:link w:val="SalutationChar"/>
    <w:uiPriority w:val="99"/>
    <w:semiHidden/>
    <w:rsid w:val="00DD394B"/>
  </w:style>
  <w:style w:type="character" w:customStyle="1" w:styleId="SalutationChar">
    <w:name w:val="Salutation Char"/>
    <w:basedOn w:val="DefaultParagraphFont"/>
    <w:link w:val="Salutation"/>
    <w:uiPriority w:val="99"/>
    <w:semiHidden/>
    <w:rsid w:val="00DD394B"/>
  </w:style>
  <w:style w:type="paragraph" w:styleId="Signature">
    <w:name w:val="Signature"/>
    <w:basedOn w:val="Normal"/>
    <w:link w:val="SignatureChar"/>
    <w:uiPriority w:val="99"/>
    <w:semiHidden/>
    <w:rsid w:val="00DD394B"/>
    <w:pPr>
      <w:ind w:left="4320"/>
    </w:pPr>
  </w:style>
  <w:style w:type="character" w:customStyle="1" w:styleId="SignatureChar">
    <w:name w:val="Signature Char"/>
    <w:basedOn w:val="DefaultParagraphFont"/>
    <w:link w:val="Signature"/>
    <w:uiPriority w:val="99"/>
    <w:semiHidden/>
    <w:rsid w:val="00DD394B"/>
  </w:style>
  <w:style w:type="character" w:styleId="Strong">
    <w:name w:val="Strong"/>
    <w:basedOn w:val="DefaultParagraphFont"/>
    <w:uiPriority w:val="22"/>
    <w:semiHidden/>
    <w:rsid w:val="00DD394B"/>
    <w:rPr>
      <w:b/>
      <w:bCs/>
    </w:rPr>
  </w:style>
  <w:style w:type="character" w:styleId="SubtleEmphasis">
    <w:name w:val="Subtle Emphasis"/>
    <w:basedOn w:val="DefaultParagraphFont"/>
    <w:uiPriority w:val="19"/>
    <w:semiHidden/>
    <w:rsid w:val="00DD394B"/>
    <w:rPr>
      <w:i/>
      <w:iCs/>
      <w:color w:val="808080" w:themeColor="text1" w:themeTint="7F"/>
    </w:rPr>
  </w:style>
  <w:style w:type="character" w:styleId="SubtleReference">
    <w:name w:val="Subtle Reference"/>
    <w:basedOn w:val="DefaultParagraphFont"/>
    <w:uiPriority w:val="31"/>
    <w:semiHidden/>
    <w:rsid w:val="00DD394B"/>
    <w:rPr>
      <w:smallCaps/>
      <w:color w:val="C0504D" w:themeColor="accent2"/>
      <w:u w:val="single"/>
    </w:rPr>
  </w:style>
  <w:style w:type="paragraph" w:styleId="TableofAuthorities">
    <w:name w:val="table of authorities"/>
    <w:basedOn w:val="Normal"/>
    <w:next w:val="Normal"/>
    <w:uiPriority w:val="99"/>
    <w:semiHidden/>
    <w:unhideWhenUsed/>
    <w:rsid w:val="00DD394B"/>
    <w:pPr>
      <w:ind w:left="240" w:hanging="240"/>
    </w:pPr>
  </w:style>
  <w:style w:type="paragraph" w:styleId="TableofFigures">
    <w:name w:val="table of figures"/>
    <w:basedOn w:val="Normal"/>
    <w:next w:val="Normal"/>
    <w:uiPriority w:val="99"/>
    <w:semiHidden/>
    <w:rsid w:val="00DD394B"/>
  </w:style>
  <w:style w:type="paragraph" w:styleId="TOC1">
    <w:name w:val="toc 1"/>
    <w:basedOn w:val="Normal"/>
    <w:next w:val="Normal"/>
    <w:autoRedefine/>
    <w:uiPriority w:val="39"/>
    <w:semiHidden/>
    <w:unhideWhenUsed/>
    <w:rsid w:val="00DD394B"/>
    <w:pPr>
      <w:spacing w:after="100"/>
    </w:pPr>
  </w:style>
  <w:style w:type="paragraph" w:styleId="TOC2">
    <w:name w:val="toc 2"/>
    <w:basedOn w:val="Normal"/>
    <w:next w:val="Normal"/>
    <w:autoRedefine/>
    <w:uiPriority w:val="39"/>
    <w:semiHidden/>
    <w:unhideWhenUsed/>
    <w:rsid w:val="00DD394B"/>
    <w:pPr>
      <w:spacing w:after="100"/>
      <w:ind w:left="240"/>
    </w:pPr>
  </w:style>
  <w:style w:type="paragraph" w:styleId="TOC3">
    <w:name w:val="toc 3"/>
    <w:basedOn w:val="Normal"/>
    <w:next w:val="Normal"/>
    <w:autoRedefine/>
    <w:uiPriority w:val="39"/>
    <w:semiHidden/>
    <w:unhideWhenUsed/>
    <w:rsid w:val="00DD394B"/>
    <w:pPr>
      <w:spacing w:after="100"/>
      <w:ind w:left="480"/>
    </w:pPr>
  </w:style>
  <w:style w:type="paragraph" w:styleId="TOC4">
    <w:name w:val="toc 4"/>
    <w:basedOn w:val="Normal"/>
    <w:next w:val="Normal"/>
    <w:autoRedefine/>
    <w:uiPriority w:val="39"/>
    <w:semiHidden/>
    <w:unhideWhenUsed/>
    <w:rsid w:val="00DD394B"/>
    <w:pPr>
      <w:spacing w:after="100"/>
      <w:ind w:left="720"/>
    </w:pPr>
  </w:style>
  <w:style w:type="paragraph" w:styleId="TOC5">
    <w:name w:val="toc 5"/>
    <w:basedOn w:val="Normal"/>
    <w:next w:val="Normal"/>
    <w:autoRedefine/>
    <w:uiPriority w:val="39"/>
    <w:semiHidden/>
    <w:unhideWhenUsed/>
    <w:rsid w:val="00DD394B"/>
    <w:pPr>
      <w:spacing w:after="100"/>
      <w:ind w:left="960"/>
    </w:pPr>
  </w:style>
  <w:style w:type="paragraph" w:styleId="TOC6">
    <w:name w:val="toc 6"/>
    <w:basedOn w:val="Normal"/>
    <w:next w:val="Normal"/>
    <w:autoRedefine/>
    <w:uiPriority w:val="39"/>
    <w:semiHidden/>
    <w:unhideWhenUsed/>
    <w:rsid w:val="00DD394B"/>
    <w:pPr>
      <w:spacing w:after="100"/>
      <w:ind w:left="1200"/>
    </w:pPr>
  </w:style>
  <w:style w:type="paragraph" w:styleId="TOC7">
    <w:name w:val="toc 7"/>
    <w:basedOn w:val="Normal"/>
    <w:next w:val="Normal"/>
    <w:autoRedefine/>
    <w:uiPriority w:val="39"/>
    <w:semiHidden/>
    <w:unhideWhenUsed/>
    <w:rsid w:val="00DD394B"/>
    <w:pPr>
      <w:spacing w:after="100"/>
      <w:ind w:left="1440"/>
    </w:pPr>
  </w:style>
  <w:style w:type="paragraph" w:styleId="TOC8">
    <w:name w:val="toc 8"/>
    <w:basedOn w:val="Normal"/>
    <w:next w:val="Normal"/>
    <w:autoRedefine/>
    <w:uiPriority w:val="39"/>
    <w:semiHidden/>
    <w:unhideWhenUsed/>
    <w:rsid w:val="00DD394B"/>
    <w:pPr>
      <w:spacing w:after="100"/>
      <w:ind w:left="1680"/>
    </w:pPr>
  </w:style>
  <w:style w:type="paragraph" w:styleId="TOC9">
    <w:name w:val="toc 9"/>
    <w:basedOn w:val="Normal"/>
    <w:next w:val="Normal"/>
    <w:autoRedefine/>
    <w:uiPriority w:val="39"/>
    <w:semiHidden/>
    <w:unhideWhenUsed/>
    <w:rsid w:val="00DD394B"/>
    <w:pPr>
      <w:spacing w:after="100"/>
      <w:ind w:left="1920"/>
    </w:pPr>
  </w:style>
  <w:style w:type="table" w:styleId="TableGrid">
    <w:name w:val="Table Grid"/>
    <w:basedOn w:val="TableNormal"/>
    <w:uiPriority w:val="59"/>
    <w:rsid w:val="00DD3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df94">
    <w:name w:val="idf94"/>
    <w:basedOn w:val="Normal"/>
    <w:rsid w:val="008164C2"/>
    <w:pPr>
      <w:spacing w:before="100" w:beforeAutospacing="1" w:after="100" w:afterAutospacing="1"/>
    </w:pPr>
    <w:rPr>
      <w:rFonts w:eastAsia="Times New Roman" w:cs="Times New Roman"/>
    </w:rPr>
  </w:style>
  <w:style w:type="character" w:customStyle="1" w:styleId="idf37">
    <w:name w:val="idf37"/>
    <w:basedOn w:val="DefaultParagraphFont"/>
    <w:rsid w:val="008164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lsdException w:name="header" w:unhideWhenUsed="1"/>
    <w:lsdException w:name="footer" w:unhideWhenUsed="1"/>
    <w:lsdException w:name="caption" w:uiPriority="35" w:qFormat="1"/>
    <w:lsdException w:name="footnote reference" w:uiPriority="0"/>
    <w:lsdException w:name="table of authorities" w:unhideWhenUsed="1"/>
    <w:lsdException w:name="toa heading" w:unhideWhenUsed="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Normal">
    <w:name w:val="Normal"/>
    <w:rsid w:val="00B32E37"/>
  </w:style>
  <w:style w:type="paragraph" w:styleId="Heading1">
    <w:name w:val="heading 1"/>
    <w:basedOn w:val="Normal"/>
    <w:next w:val="RSBodyText"/>
    <w:link w:val="Heading1Char"/>
    <w:qFormat/>
    <w:rsid w:val="009A0062"/>
    <w:pPr>
      <w:numPr>
        <w:numId w:val="20"/>
      </w:numPr>
      <w:spacing w:after="240"/>
      <w:outlineLvl w:val="0"/>
    </w:pPr>
    <w:rPr>
      <w:rFonts w:eastAsiaTheme="majorEastAsia" w:cs="Times New Roman"/>
      <w:bCs/>
      <w:color w:val="000000"/>
      <w:szCs w:val="28"/>
    </w:rPr>
  </w:style>
  <w:style w:type="paragraph" w:styleId="Heading2">
    <w:name w:val="heading 2"/>
    <w:basedOn w:val="Normal"/>
    <w:next w:val="RSBodyText"/>
    <w:link w:val="Heading2Char"/>
    <w:unhideWhenUsed/>
    <w:qFormat/>
    <w:rsid w:val="009A0062"/>
    <w:pPr>
      <w:numPr>
        <w:ilvl w:val="1"/>
        <w:numId w:val="20"/>
      </w:numPr>
      <w:spacing w:after="240"/>
      <w:outlineLvl w:val="1"/>
    </w:pPr>
    <w:rPr>
      <w:rFonts w:eastAsiaTheme="majorEastAsia" w:cs="Times New Roman"/>
      <w:bCs/>
      <w:color w:val="000000"/>
      <w:szCs w:val="26"/>
    </w:rPr>
  </w:style>
  <w:style w:type="paragraph" w:styleId="Heading3">
    <w:name w:val="heading 3"/>
    <w:basedOn w:val="Normal"/>
    <w:next w:val="RSBodyText"/>
    <w:link w:val="Heading3Char"/>
    <w:semiHidden/>
    <w:unhideWhenUsed/>
    <w:qFormat/>
    <w:rsid w:val="009A0062"/>
    <w:pPr>
      <w:numPr>
        <w:ilvl w:val="2"/>
        <w:numId w:val="20"/>
      </w:numPr>
      <w:spacing w:after="240"/>
      <w:outlineLvl w:val="2"/>
    </w:pPr>
    <w:rPr>
      <w:rFonts w:eastAsiaTheme="majorEastAsia" w:cs="Times New Roman"/>
      <w:bCs/>
      <w:color w:val="000000"/>
    </w:rPr>
  </w:style>
  <w:style w:type="paragraph" w:styleId="Heading4">
    <w:name w:val="heading 4"/>
    <w:basedOn w:val="Normal"/>
    <w:next w:val="RSBodyText"/>
    <w:link w:val="Heading4Char"/>
    <w:semiHidden/>
    <w:unhideWhenUsed/>
    <w:qFormat/>
    <w:rsid w:val="009A0062"/>
    <w:pPr>
      <w:numPr>
        <w:ilvl w:val="3"/>
        <w:numId w:val="20"/>
      </w:numPr>
      <w:spacing w:after="240"/>
      <w:outlineLvl w:val="3"/>
    </w:pPr>
    <w:rPr>
      <w:rFonts w:eastAsiaTheme="majorEastAsia" w:cs="Times New Roman"/>
      <w:bCs/>
      <w:iCs/>
      <w:color w:val="000000"/>
    </w:rPr>
  </w:style>
  <w:style w:type="paragraph" w:styleId="Heading5">
    <w:name w:val="heading 5"/>
    <w:basedOn w:val="Normal"/>
    <w:next w:val="RSBodyText"/>
    <w:link w:val="Heading5Char"/>
    <w:semiHidden/>
    <w:unhideWhenUsed/>
    <w:qFormat/>
    <w:rsid w:val="009A0062"/>
    <w:pPr>
      <w:numPr>
        <w:ilvl w:val="4"/>
        <w:numId w:val="20"/>
      </w:numPr>
      <w:spacing w:after="240"/>
      <w:outlineLvl w:val="4"/>
    </w:pPr>
    <w:rPr>
      <w:rFonts w:eastAsiaTheme="majorEastAsia" w:cs="Times New Roman"/>
      <w:color w:val="000000"/>
    </w:rPr>
  </w:style>
  <w:style w:type="paragraph" w:styleId="Heading6">
    <w:name w:val="heading 6"/>
    <w:basedOn w:val="Normal"/>
    <w:next w:val="RSBodyText"/>
    <w:link w:val="Heading6Char"/>
    <w:semiHidden/>
    <w:unhideWhenUsed/>
    <w:qFormat/>
    <w:rsid w:val="009A0062"/>
    <w:pPr>
      <w:numPr>
        <w:ilvl w:val="5"/>
        <w:numId w:val="20"/>
      </w:numPr>
      <w:spacing w:after="240"/>
      <w:outlineLvl w:val="5"/>
    </w:pPr>
    <w:rPr>
      <w:rFonts w:eastAsiaTheme="majorEastAsia" w:cs="Times New Roman"/>
      <w:iCs/>
      <w:color w:val="000000"/>
    </w:rPr>
  </w:style>
  <w:style w:type="paragraph" w:styleId="Heading7">
    <w:name w:val="heading 7"/>
    <w:basedOn w:val="Normal"/>
    <w:next w:val="RSBodyText"/>
    <w:link w:val="Heading7Char"/>
    <w:semiHidden/>
    <w:unhideWhenUsed/>
    <w:qFormat/>
    <w:rsid w:val="009A0062"/>
    <w:pPr>
      <w:numPr>
        <w:ilvl w:val="6"/>
        <w:numId w:val="20"/>
      </w:numPr>
      <w:spacing w:after="240"/>
      <w:outlineLvl w:val="6"/>
    </w:pPr>
    <w:rPr>
      <w:rFonts w:eastAsiaTheme="majorEastAsia" w:cs="Times New Roman"/>
      <w:iCs/>
      <w:color w:val="000000"/>
    </w:rPr>
  </w:style>
  <w:style w:type="paragraph" w:styleId="Heading8">
    <w:name w:val="heading 8"/>
    <w:basedOn w:val="Normal"/>
    <w:next w:val="RSBodyText"/>
    <w:link w:val="Heading8Char"/>
    <w:semiHidden/>
    <w:unhideWhenUsed/>
    <w:qFormat/>
    <w:rsid w:val="009A0062"/>
    <w:pPr>
      <w:numPr>
        <w:ilvl w:val="7"/>
        <w:numId w:val="20"/>
      </w:numPr>
      <w:spacing w:after="240"/>
      <w:outlineLvl w:val="7"/>
    </w:pPr>
    <w:rPr>
      <w:rFonts w:eastAsiaTheme="majorEastAsia" w:cs="Times New Roman"/>
      <w:color w:val="000000"/>
      <w:szCs w:val="20"/>
    </w:rPr>
  </w:style>
  <w:style w:type="paragraph" w:styleId="Heading9">
    <w:name w:val="heading 9"/>
    <w:basedOn w:val="Normal"/>
    <w:next w:val="RSBodyText"/>
    <w:link w:val="Heading9Char"/>
    <w:semiHidden/>
    <w:unhideWhenUsed/>
    <w:qFormat/>
    <w:rsid w:val="009A0062"/>
    <w:pPr>
      <w:numPr>
        <w:ilvl w:val="8"/>
        <w:numId w:val="20"/>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2B37"/>
    <w:pPr>
      <w:tabs>
        <w:tab w:val="center" w:pos="4680"/>
        <w:tab w:val="right" w:pos="9360"/>
      </w:tabs>
    </w:pPr>
  </w:style>
  <w:style w:type="character" w:customStyle="1" w:styleId="HeaderChar">
    <w:name w:val="Header Char"/>
    <w:basedOn w:val="DefaultParagraphFont"/>
    <w:link w:val="Header"/>
    <w:uiPriority w:val="99"/>
    <w:semiHidden/>
    <w:rsid w:val="00B52C2D"/>
  </w:style>
  <w:style w:type="paragraph" w:styleId="Footer">
    <w:name w:val="footer"/>
    <w:basedOn w:val="Normal"/>
    <w:link w:val="FooterChar"/>
    <w:uiPriority w:val="99"/>
    <w:semiHidden/>
    <w:rsid w:val="00FA2B37"/>
    <w:pPr>
      <w:tabs>
        <w:tab w:val="center" w:pos="4680"/>
        <w:tab w:val="right" w:pos="9360"/>
      </w:tabs>
    </w:pPr>
  </w:style>
  <w:style w:type="character" w:customStyle="1" w:styleId="FooterChar">
    <w:name w:val="Footer Char"/>
    <w:basedOn w:val="DefaultParagraphFont"/>
    <w:link w:val="Footer"/>
    <w:uiPriority w:val="99"/>
    <w:semiHidden/>
    <w:rsid w:val="00B52C2D"/>
  </w:style>
  <w:style w:type="paragraph" w:styleId="ListParagraph">
    <w:name w:val="List Paragraph"/>
    <w:basedOn w:val="Normal"/>
    <w:uiPriority w:val="34"/>
    <w:semiHidden/>
    <w:rsid w:val="00FD26CB"/>
    <w:pPr>
      <w:ind w:left="720"/>
      <w:contextualSpacing/>
    </w:pPr>
  </w:style>
  <w:style w:type="paragraph" w:customStyle="1" w:styleId="RSBlockText">
    <w:name w:val="RS Block Text"/>
    <w:basedOn w:val="Normal"/>
    <w:link w:val="RSBlockTextChar"/>
    <w:qFormat/>
    <w:rsid w:val="00F141E2"/>
    <w:pPr>
      <w:spacing w:after="240"/>
      <w:jc w:val="both"/>
    </w:pPr>
  </w:style>
  <w:style w:type="character" w:customStyle="1" w:styleId="DocID">
    <w:name w:val="DocID"/>
    <w:basedOn w:val="DefaultParagraphFont"/>
    <w:rsid w:val="00FA2B37"/>
    <w:rPr>
      <w:rFonts w:ascii="Arial" w:hAnsi="Arial"/>
      <w:noProof/>
      <w:sz w:val="12"/>
    </w:rPr>
  </w:style>
  <w:style w:type="character" w:customStyle="1" w:styleId="RSBlockTextChar">
    <w:name w:val="RS Block Text Char"/>
    <w:basedOn w:val="DefaultParagraphFont"/>
    <w:link w:val="RSBlockText"/>
    <w:rsid w:val="00F141E2"/>
  </w:style>
  <w:style w:type="paragraph" w:customStyle="1" w:styleId="RSBodyText">
    <w:name w:val="RS Body Text"/>
    <w:basedOn w:val="Normal"/>
    <w:link w:val="RSBodyTextChar"/>
    <w:qFormat/>
    <w:rsid w:val="00F141E2"/>
    <w:pPr>
      <w:spacing w:after="240"/>
    </w:pPr>
  </w:style>
  <w:style w:type="character" w:customStyle="1" w:styleId="RSBodyTextChar">
    <w:name w:val="RS Body Text Char"/>
    <w:basedOn w:val="DefaultParagraphFont"/>
    <w:link w:val="RSBodyText"/>
    <w:rsid w:val="00F141E2"/>
  </w:style>
  <w:style w:type="paragraph" w:customStyle="1" w:styleId="RSBodyText15">
    <w:name w:val="RS Body Text 1.5"/>
    <w:basedOn w:val="Normal"/>
    <w:qFormat/>
    <w:rsid w:val="000E038C"/>
    <w:pPr>
      <w:spacing w:after="360"/>
    </w:pPr>
  </w:style>
  <w:style w:type="paragraph" w:customStyle="1" w:styleId="RSBodyText15Inch">
    <w:name w:val="RS Body Text 1.5 Inch"/>
    <w:basedOn w:val="Normal"/>
    <w:qFormat/>
    <w:rsid w:val="000E038C"/>
    <w:pPr>
      <w:spacing w:after="360"/>
      <w:ind w:firstLine="1440"/>
    </w:pPr>
  </w:style>
  <w:style w:type="paragraph" w:customStyle="1" w:styleId="RSBodyTextDbl">
    <w:name w:val="RS Body Text Dbl"/>
    <w:basedOn w:val="Normal"/>
    <w:qFormat/>
    <w:rsid w:val="000E038C"/>
    <w:pPr>
      <w:spacing w:after="480"/>
    </w:pPr>
  </w:style>
  <w:style w:type="paragraph" w:customStyle="1" w:styleId="RSBodyTextDblInch">
    <w:name w:val="RS Body Text Dbl Inch"/>
    <w:basedOn w:val="Normal"/>
    <w:qFormat/>
    <w:rsid w:val="000E038C"/>
    <w:pPr>
      <w:spacing w:after="480"/>
      <w:ind w:firstLine="1440"/>
    </w:pPr>
  </w:style>
  <w:style w:type="paragraph" w:customStyle="1" w:styleId="RSBodyTextFull">
    <w:name w:val="RS Body Text Full"/>
    <w:basedOn w:val="Normal"/>
    <w:qFormat/>
    <w:rsid w:val="000E038C"/>
    <w:pPr>
      <w:spacing w:after="240"/>
      <w:jc w:val="both"/>
    </w:pPr>
  </w:style>
  <w:style w:type="paragraph" w:customStyle="1" w:styleId="RSBodyTextInch">
    <w:name w:val="RS Body Text Inch"/>
    <w:basedOn w:val="Normal"/>
    <w:qFormat/>
    <w:rsid w:val="000E038C"/>
    <w:pPr>
      <w:spacing w:after="240"/>
      <w:ind w:firstLine="1440"/>
    </w:pPr>
  </w:style>
  <w:style w:type="paragraph" w:customStyle="1" w:styleId="RSDblQuote">
    <w:name w:val="RS Dbl Quote"/>
    <w:basedOn w:val="Normal"/>
    <w:qFormat/>
    <w:rsid w:val="000E038C"/>
    <w:pPr>
      <w:spacing w:after="480"/>
      <w:ind w:left="720" w:right="720"/>
    </w:pPr>
  </w:style>
  <w:style w:type="paragraph" w:customStyle="1" w:styleId="RSQuote">
    <w:name w:val="RS Quote"/>
    <w:basedOn w:val="Normal"/>
    <w:qFormat/>
    <w:rsid w:val="000E038C"/>
    <w:pPr>
      <w:spacing w:after="240"/>
      <w:ind w:left="720" w:right="720"/>
    </w:pPr>
  </w:style>
  <w:style w:type="paragraph" w:customStyle="1" w:styleId="RSSign">
    <w:name w:val="RS Sign"/>
    <w:basedOn w:val="Normal"/>
    <w:qFormat/>
    <w:rsid w:val="000E038C"/>
    <w:pPr>
      <w:keepNext/>
      <w:keepLines/>
      <w:tabs>
        <w:tab w:val="right" w:pos="9360"/>
      </w:tabs>
      <w:spacing w:after="240"/>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827B45"/>
    <w:pPr>
      <w:numPr>
        <w:numId w:val="5"/>
      </w:numPr>
      <w:contextualSpacing/>
    </w:pPr>
  </w:style>
  <w:style w:type="paragraph" w:customStyle="1" w:styleId="RSHangingNumbers">
    <w:name w:val="RS Hanging Numbers"/>
    <w:basedOn w:val="ListParagraph"/>
    <w:rsid w:val="00827B45"/>
    <w:pPr>
      <w:numPr>
        <w:numId w:val="7"/>
      </w:numPr>
      <w:spacing w:after="240"/>
      <w:contextualSpacing w:val="0"/>
    </w:pPr>
  </w:style>
  <w:style w:type="paragraph" w:customStyle="1" w:styleId="RSNumberedList">
    <w:name w:val="RS Numbered List"/>
    <w:basedOn w:val="Normal"/>
    <w:rsid w:val="00B52C2D"/>
    <w:pPr>
      <w:numPr>
        <w:numId w:val="8"/>
      </w:numPr>
      <w:spacing w:after="240"/>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 w:val="20"/>
      <w:szCs w:val="20"/>
    </w:rPr>
  </w:style>
  <w:style w:type="character" w:customStyle="1" w:styleId="Heading1Char">
    <w:name w:val="Heading 1 Char"/>
    <w:basedOn w:val="DefaultParagraphFont"/>
    <w:link w:val="Heading1"/>
    <w:rsid w:val="009A0062"/>
    <w:rPr>
      <w:rFonts w:eastAsiaTheme="majorEastAsia" w:cs="Times New Roman"/>
      <w:bCs/>
      <w:color w:val="000000"/>
      <w:szCs w:val="28"/>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character" w:customStyle="1" w:styleId="Heading2Char">
    <w:name w:val="Heading 2 Char"/>
    <w:basedOn w:val="DefaultParagraphFont"/>
    <w:link w:val="Heading2"/>
    <w:rsid w:val="009A0062"/>
    <w:rPr>
      <w:rFonts w:eastAsiaTheme="majorEastAsia" w:cs="Times New Roman"/>
      <w:bCs/>
      <w:color w:val="000000"/>
      <w:szCs w:val="26"/>
    </w:rPr>
  </w:style>
  <w:style w:type="character" w:customStyle="1" w:styleId="Heading3Char">
    <w:name w:val="Heading 3 Char"/>
    <w:basedOn w:val="DefaultParagraphFont"/>
    <w:link w:val="Heading3"/>
    <w:semiHidden/>
    <w:rsid w:val="009A0062"/>
    <w:rPr>
      <w:rFonts w:eastAsiaTheme="majorEastAsia" w:cs="Times New Roman"/>
      <w:bCs/>
      <w:color w:val="000000"/>
    </w:rPr>
  </w:style>
  <w:style w:type="character" w:customStyle="1" w:styleId="Heading4Char">
    <w:name w:val="Heading 4 Char"/>
    <w:basedOn w:val="DefaultParagraphFont"/>
    <w:link w:val="Heading4"/>
    <w:semiHidden/>
    <w:rsid w:val="009A0062"/>
    <w:rPr>
      <w:rFonts w:eastAsiaTheme="majorEastAsia" w:cs="Times New Roman"/>
      <w:bCs/>
      <w:iCs/>
      <w:color w:val="000000"/>
    </w:rPr>
  </w:style>
  <w:style w:type="character" w:customStyle="1" w:styleId="Heading5Char">
    <w:name w:val="Heading 5 Char"/>
    <w:basedOn w:val="DefaultParagraphFont"/>
    <w:link w:val="Heading5"/>
    <w:semiHidden/>
    <w:rsid w:val="009A0062"/>
    <w:rPr>
      <w:rFonts w:eastAsiaTheme="majorEastAsia" w:cs="Times New Roman"/>
      <w:color w:val="000000"/>
    </w:rPr>
  </w:style>
  <w:style w:type="character" w:customStyle="1" w:styleId="Heading6Char">
    <w:name w:val="Heading 6 Char"/>
    <w:basedOn w:val="DefaultParagraphFont"/>
    <w:link w:val="Heading6"/>
    <w:semiHidden/>
    <w:rsid w:val="009A0062"/>
    <w:rPr>
      <w:rFonts w:eastAsiaTheme="majorEastAsia" w:cs="Times New Roman"/>
      <w:iCs/>
      <w:color w:val="000000"/>
    </w:rPr>
  </w:style>
  <w:style w:type="character" w:customStyle="1" w:styleId="Heading7Char">
    <w:name w:val="Heading 7 Char"/>
    <w:basedOn w:val="DefaultParagraphFont"/>
    <w:link w:val="Heading7"/>
    <w:semiHidden/>
    <w:rsid w:val="009A0062"/>
    <w:rPr>
      <w:rFonts w:eastAsiaTheme="majorEastAsia" w:cs="Times New Roman"/>
      <w:iCs/>
      <w:color w:val="000000"/>
    </w:rPr>
  </w:style>
  <w:style w:type="character" w:customStyle="1" w:styleId="Heading8Char">
    <w:name w:val="Heading 8 Char"/>
    <w:basedOn w:val="DefaultParagraphFont"/>
    <w:link w:val="Heading8"/>
    <w:semiHidden/>
    <w:rsid w:val="009A0062"/>
    <w:rPr>
      <w:rFonts w:eastAsiaTheme="majorEastAsia" w:cs="Times New Roman"/>
      <w:color w:val="000000"/>
      <w:szCs w:val="20"/>
    </w:rPr>
  </w:style>
  <w:style w:type="character" w:customStyle="1" w:styleId="Heading9Char">
    <w:name w:val="Heading 9 Char"/>
    <w:basedOn w:val="DefaultParagraphFont"/>
    <w:link w:val="Heading9"/>
    <w:semiHidden/>
    <w:rsid w:val="009A0062"/>
    <w:rPr>
      <w:rFonts w:eastAsiaTheme="majorEastAsia" w:cs="Times New Roman"/>
      <w:iCs/>
      <w:color w:val="000000"/>
      <w:szCs w:val="20"/>
    </w:rPr>
  </w:style>
  <w:style w:type="paragraph" w:styleId="BodyText">
    <w:name w:val="Body Text"/>
    <w:basedOn w:val="Normal"/>
    <w:link w:val="BodyTextChar"/>
    <w:uiPriority w:val="99"/>
    <w:semiHidden/>
    <w:rsid w:val="009A0062"/>
    <w:pPr>
      <w:spacing w:after="120"/>
    </w:pPr>
  </w:style>
  <w:style w:type="character" w:customStyle="1" w:styleId="BodyTextChar">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0236CA"/>
    <w:rPr>
      <w:rFonts w:ascii="Tahoma" w:hAnsi="Tahoma" w:cs="Tahoma"/>
      <w:sz w:val="16"/>
      <w:szCs w:val="16"/>
    </w:rPr>
  </w:style>
  <w:style w:type="character" w:customStyle="1" w:styleId="BalloonTextChar">
    <w:name w:val="Balloon Text Char"/>
    <w:basedOn w:val="DefaultParagraphFont"/>
    <w:link w:val="BalloonText"/>
    <w:uiPriority w:val="99"/>
    <w:semiHidden/>
    <w:rsid w:val="000236CA"/>
    <w:rPr>
      <w:rFonts w:ascii="Tahoma" w:hAnsi="Tahoma" w:cs="Tahoma"/>
      <w:sz w:val="16"/>
      <w:szCs w:val="16"/>
    </w:rPr>
  </w:style>
  <w:style w:type="paragraph" w:styleId="Bibliography">
    <w:name w:val="Bibliography"/>
    <w:basedOn w:val="Normal"/>
    <w:next w:val="Normal"/>
    <w:uiPriority w:val="37"/>
    <w:semiHidden/>
    <w:rsid w:val="00DD394B"/>
  </w:style>
  <w:style w:type="paragraph" w:styleId="BodyText2">
    <w:name w:val="Body Text 2"/>
    <w:basedOn w:val="Normal"/>
    <w:link w:val="BodyText2Char"/>
    <w:uiPriority w:val="99"/>
    <w:semiHidden/>
    <w:rsid w:val="00DD394B"/>
    <w:pPr>
      <w:spacing w:after="120" w:line="480" w:lineRule="auto"/>
    </w:pPr>
  </w:style>
  <w:style w:type="character" w:customStyle="1" w:styleId="BodyText2Char">
    <w:name w:val="Body Text 2 Char"/>
    <w:basedOn w:val="DefaultParagraphFont"/>
    <w:link w:val="BodyText2"/>
    <w:uiPriority w:val="99"/>
    <w:semiHidden/>
    <w:rsid w:val="00DD394B"/>
  </w:style>
  <w:style w:type="paragraph" w:styleId="BodyText3">
    <w:name w:val="Body Text 3"/>
    <w:basedOn w:val="Normal"/>
    <w:link w:val="BodyText3Char"/>
    <w:uiPriority w:val="99"/>
    <w:semiHidden/>
    <w:rsid w:val="00DD394B"/>
    <w:pPr>
      <w:spacing w:after="120"/>
    </w:pPr>
    <w:rPr>
      <w:sz w:val="16"/>
      <w:szCs w:val="16"/>
    </w:rPr>
  </w:style>
  <w:style w:type="character" w:customStyle="1" w:styleId="BodyText3Char">
    <w:name w:val="Body Text 3 Char"/>
    <w:basedOn w:val="DefaultParagraphFont"/>
    <w:link w:val="BodyText3"/>
    <w:uiPriority w:val="99"/>
    <w:semiHidden/>
    <w:rsid w:val="00DD394B"/>
    <w:rPr>
      <w:sz w:val="16"/>
      <w:szCs w:val="16"/>
    </w:rPr>
  </w:style>
  <w:style w:type="paragraph" w:styleId="BodyTextFirstIndent">
    <w:name w:val="Body Text First Indent"/>
    <w:basedOn w:val="BodyText"/>
    <w:link w:val="BodyTextFirstIndentChar"/>
    <w:uiPriority w:val="99"/>
    <w:semiHidden/>
    <w:rsid w:val="00DD394B"/>
    <w:pPr>
      <w:spacing w:after="0"/>
      <w:ind w:firstLine="360"/>
    </w:pPr>
  </w:style>
  <w:style w:type="character" w:customStyle="1" w:styleId="BodyTextFirstIndentChar">
    <w:name w:val="Body Text First Indent Char"/>
    <w:basedOn w:val="BodyTextChar"/>
    <w:link w:val="BodyTextFirstIndent"/>
    <w:uiPriority w:val="99"/>
    <w:semiHidden/>
    <w:rsid w:val="00DD394B"/>
  </w:style>
  <w:style w:type="paragraph" w:styleId="BodyTextIndent">
    <w:name w:val="Body Text Indent"/>
    <w:basedOn w:val="Normal"/>
    <w:link w:val="BodyTextIndentChar"/>
    <w:uiPriority w:val="99"/>
    <w:semiHidden/>
    <w:rsid w:val="00DD394B"/>
    <w:pPr>
      <w:spacing w:after="120"/>
      <w:ind w:left="360"/>
    </w:pPr>
  </w:style>
  <w:style w:type="character" w:customStyle="1" w:styleId="BodyTextIndentChar">
    <w:name w:val="Body Text Indent Char"/>
    <w:basedOn w:val="DefaultParagraphFont"/>
    <w:link w:val="BodyTextIndent"/>
    <w:uiPriority w:val="99"/>
    <w:semiHidden/>
    <w:rsid w:val="00DD394B"/>
  </w:style>
  <w:style w:type="paragraph" w:styleId="BodyTextFirstIndent2">
    <w:name w:val="Body Text First Indent 2"/>
    <w:basedOn w:val="BodyTextIndent"/>
    <w:link w:val="BodyTextFirstIndent2Char"/>
    <w:uiPriority w:val="99"/>
    <w:semiHidden/>
    <w:rsid w:val="00DD394B"/>
    <w:pPr>
      <w:spacing w:after="0"/>
      <w:ind w:firstLine="360"/>
    </w:pPr>
  </w:style>
  <w:style w:type="character" w:customStyle="1" w:styleId="BodyTextFirstIndent2Char">
    <w:name w:val="Body Text First Indent 2 Char"/>
    <w:basedOn w:val="BodyTextIndentChar"/>
    <w:link w:val="BodyTextFirstIndent2"/>
    <w:uiPriority w:val="99"/>
    <w:semiHidden/>
    <w:rsid w:val="00DD394B"/>
  </w:style>
  <w:style w:type="paragraph" w:styleId="BodyTextIndent2">
    <w:name w:val="Body Text Indent 2"/>
    <w:basedOn w:val="Normal"/>
    <w:link w:val="BodyTextIndent2Char"/>
    <w:uiPriority w:val="99"/>
    <w:semiHidden/>
    <w:rsid w:val="00DD394B"/>
    <w:pPr>
      <w:spacing w:after="120" w:line="480" w:lineRule="auto"/>
      <w:ind w:left="360"/>
    </w:pPr>
  </w:style>
  <w:style w:type="character" w:customStyle="1" w:styleId="BodyTextIndent2Char">
    <w:name w:val="Body Text Indent 2 Char"/>
    <w:basedOn w:val="DefaultParagraphFont"/>
    <w:link w:val="BodyTextIndent2"/>
    <w:uiPriority w:val="99"/>
    <w:semiHidden/>
    <w:rsid w:val="00DD394B"/>
  </w:style>
  <w:style w:type="paragraph" w:styleId="BodyTextIndent3">
    <w:name w:val="Body Text Indent 3"/>
    <w:basedOn w:val="Normal"/>
    <w:link w:val="BodyTextIndent3Char"/>
    <w:uiPriority w:val="99"/>
    <w:semiHidden/>
    <w:rsid w:val="00DD39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D394B"/>
    <w:rPr>
      <w:sz w:val="16"/>
      <w:szCs w:val="16"/>
    </w:rPr>
  </w:style>
  <w:style w:type="character" w:styleId="BookTitle">
    <w:name w:val="Book Title"/>
    <w:basedOn w:val="DefaultParagraphFont"/>
    <w:uiPriority w:val="33"/>
    <w:semiHidden/>
    <w:rsid w:val="00DD394B"/>
    <w:rPr>
      <w:b/>
      <w:bCs/>
      <w:smallCaps/>
      <w:spacing w:val="5"/>
    </w:rPr>
  </w:style>
  <w:style w:type="paragraph" w:styleId="Caption">
    <w:name w:val="caption"/>
    <w:basedOn w:val="Normal"/>
    <w:next w:val="Normal"/>
    <w:uiPriority w:val="35"/>
    <w:semiHidden/>
    <w:qFormat/>
    <w:rsid w:val="00DD394B"/>
    <w:pPr>
      <w:spacing w:after="200"/>
    </w:pPr>
    <w:rPr>
      <w:b/>
      <w:bCs/>
      <w:color w:val="4F81BD" w:themeColor="accent1"/>
      <w:sz w:val="18"/>
      <w:szCs w:val="18"/>
    </w:rPr>
  </w:style>
  <w:style w:type="paragraph" w:styleId="Closing">
    <w:name w:val="Closing"/>
    <w:basedOn w:val="Normal"/>
    <w:link w:val="ClosingChar"/>
    <w:uiPriority w:val="99"/>
    <w:semiHidden/>
    <w:rsid w:val="00DD394B"/>
    <w:pPr>
      <w:ind w:left="4320"/>
    </w:pPr>
  </w:style>
  <w:style w:type="character" w:customStyle="1" w:styleId="ClosingChar">
    <w:name w:val="Closing Char"/>
    <w:basedOn w:val="DefaultParagraphFont"/>
    <w:link w:val="Closing"/>
    <w:uiPriority w:val="99"/>
    <w:semiHidden/>
    <w:rsid w:val="00DD394B"/>
  </w:style>
  <w:style w:type="character" w:styleId="CommentReference">
    <w:name w:val="annotation reference"/>
    <w:basedOn w:val="DefaultParagraphFont"/>
    <w:uiPriority w:val="99"/>
    <w:semiHidden/>
    <w:rsid w:val="00DD394B"/>
    <w:rPr>
      <w:sz w:val="16"/>
      <w:szCs w:val="16"/>
    </w:rPr>
  </w:style>
  <w:style w:type="paragraph" w:styleId="CommentText">
    <w:name w:val="annotation text"/>
    <w:basedOn w:val="Normal"/>
    <w:link w:val="CommentTextChar"/>
    <w:uiPriority w:val="99"/>
    <w:semiHidden/>
    <w:rsid w:val="00DD394B"/>
    <w:rPr>
      <w:sz w:val="20"/>
      <w:szCs w:val="20"/>
    </w:rPr>
  </w:style>
  <w:style w:type="character" w:customStyle="1" w:styleId="CommentTextChar">
    <w:name w:val="Comment Text Char"/>
    <w:basedOn w:val="DefaultParagraphFont"/>
    <w:link w:val="CommentText"/>
    <w:uiPriority w:val="99"/>
    <w:semiHidden/>
    <w:rsid w:val="00DD394B"/>
    <w:rPr>
      <w:sz w:val="20"/>
      <w:szCs w:val="20"/>
    </w:rPr>
  </w:style>
  <w:style w:type="paragraph" w:styleId="CommentSubject">
    <w:name w:val="annotation subject"/>
    <w:basedOn w:val="CommentText"/>
    <w:next w:val="CommentText"/>
    <w:link w:val="CommentSubjectChar"/>
    <w:uiPriority w:val="99"/>
    <w:semiHidden/>
    <w:rsid w:val="00DD394B"/>
    <w:rPr>
      <w:b/>
      <w:bCs/>
    </w:rPr>
  </w:style>
  <w:style w:type="character" w:customStyle="1" w:styleId="CommentSubjectChar">
    <w:name w:val="Comment Subject Char"/>
    <w:basedOn w:val="CommentTextChar"/>
    <w:link w:val="CommentSubject"/>
    <w:uiPriority w:val="99"/>
    <w:semiHidden/>
    <w:rsid w:val="00DD394B"/>
    <w:rPr>
      <w:b/>
      <w:bCs/>
      <w:sz w:val="20"/>
      <w:szCs w:val="20"/>
    </w:rPr>
  </w:style>
  <w:style w:type="paragraph" w:styleId="Date">
    <w:name w:val="Date"/>
    <w:basedOn w:val="Normal"/>
    <w:next w:val="Normal"/>
    <w:link w:val="DateChar"/>
    <w:uiPriority w:val="99"/>
    <w:semiHidden/>
    <w:rsid w:val="00DD394B"/>
  </w:style>
  <w:style w:type="character" w:customStyle="1" w:styleId="DateChar">
    <w:name w:val="Date Char"/>
    <w:basedOn w:val="DefaultParagraphFont"/>
    <w:link w:val="Date"/>
    <w:uiPriority w:val="99"/>
    <w:semiHidden/>
    <w:rsid w:val="00DD394B"/>
  </w:style>
  <w:style w:type="paragraph" w:styleId="DocumentMap">
    <w:name w:val="Document Map"/>
    <w:basedOn w:val="Normal"/>
    <w:link w:val="DocumentMapChar"/>
    <w:uiPriority w:val="99"/>
    <w:semiHidden/>
    <w:rsid w:val="00DD394B"/>
    <w:rPr>
      <w:rFonts w:ascii="Tahoma" w:hAnsi="Tahoma" w:cs="Tahoma"/>
      <w:sz w:val="16"/>
      <w:szCs w:val="16"/>
    </w:rPr>
  </w:style>
  <w:style w:type="character" w:customStyle="1" w:styleId="DocumentMapChar">
    <w:name w:val="Document Map Char"/>
    <w:basedOn w:val="DefaultParagraphFont"/>
    <w:link w:val="DocumentMap"/>
    <w:uiPriority w:val="99"/>
    <w:semiHidden/>
    <w:rsid w:val="00DD394B"/>
    <w:rPr>
      <w:rFonts w:ascii="Tahoma" w:hAnsi="Tahoma" w:cs="Tahoma"/>
      <w:sz w:val="16"/>
      <w:szCs w:val="16"/>
    </w:rPr>
  </w:style>
  <w:style w:type="paragraph" w:styleId="E-mailSignature">
    <w:name w:val="E-mail Signature"/>
    <w:basedOn w:val="Normal"/>
    <w:link w:val="E-mailSignatureChar"/>
    <w:uiPriority w:val="99"/>
    <w:semiHidden/>
    <w:rsid w:val="00DD394B"/>
  </w:style>
  <w:style w:type="character" w:customStyle="1" w:styleId="E-mailSignatureChar">
    <w:name w:val="E-mail Signature Char"/>
    <w:basedOn w:val="DefaultParagraphFont"/>
    <w:link w:val="E-mailSignature"/>
    <w:uiPriority w:val="99"/>
    <w:semiHidden/>
    <w:rsid w:val="00DD394B"/>
  </w:style>
  <w:style w:type="character" w:styleId="Emphasis">
    <w:name w:val="Emphasis"/>
    <w:basedOn w:val="DefaultParagraphFont"/>
    <w:uiPriority w:val="20"/>
    <w:semiHidden/>
    <w:rsid w:val="00DD394B"/>
    <w:rPr>
      <w:i/>
      <w:iCs/>
    </w:rPr>
  </w:style>
  <w:style w:type="character" w:styleId="EndnoteReference">
    <w:name w:val="endnote reference"/>
    <w:basedOn w:val="DefaultParagraphFont"/>
    <w:uiPriority w:val="99"/>
    <w:semiHidden/>
    <w:rsid w:val="00DD394B"/>
    <w:rPr>
      <w:vertAlign w:val="superscript"/>
    </w:rPr>
  </w:style>
  <w:style w:type="paragraph" w:styleId="EndnoteText">
    <w:name w:val="endnote text"/>
    <w:basedOn w:val="Normal"/>
    <w:link w:val="EndnoteTextChar"/>
    <w:uiPriority w:val="99"/>
    <w:semiHidden/>
    <w:rsid w:val="00DD394B"/>
    <w:rPr>
      <w:sz w:val="20"/>
      <w:szCs w:val="20"/>
    </w:rPr>
  </w:style>
  <w:style w:type="character" w:customStyle="1" w:styleId="EndnoteTextChar">
    <w:name w:val="Endnote Text Char"/>
    <w:basedOn w:val="DefaultParagraphFont"/>
    <w:link w:val="EndnoteText"/>
    <w:uiPriority w:val="99"/>
    <w:semiHidden/>
    <w:rsid w:val="00DD394B"/>
    <w:rPr>
      <w:sz w:val="20"/>
      <w:szCs w:val="20"/>
    </w:rPr>
  </w:style>
  <w:style w:type="character" w:styleId="FollowedHyperlink">
    <w:name w:val="FollowedHyperlink"/>
    <w:basedOn w:val="DefaultParagraphFont"/>
    <w:uiPriority w:val="99"/>
    <w:semiHidden/>
    <w:rsid w:val="00DD394B"/>
    <w:rPr>
      <w:color w:val="800080" w:themeColor="followedHyperlink"/>
      <w:u w:val="single"/>
    </w:rPr>
  </w:style>
  <w:style w:type="character" w:styleId="FootnoteReference">
    <w:name w:val="footnote reference"/>
    <w:basedOn w:val="DefaultParagraphFont"/>
    <w:semiHidden/>
    <w:rsid w:val="00DD394B"/>
    <w:rPr>
      <w:vertAlign w:val="superscript"/>
    </w:rPr>
  </w:style>
  <w:style w:type="paragraph" w:styleId="FootnoteText">
    <w:name w:val="footnote text"/>
    <w:basedOn w:val="Normal"/>
    <w:link w:val="FootnoteTextChar"/>
    <w:semiHidden/>
    <w:rsid w:val="00DD394B"/>
    <w:rPr>
      <w:sz w:val="20"/>
      <w:szCs w:val="20"/>
    </w:rPr>
  </w:style>
  <w:style w:type="character" w:customStyle="1" w:styleId="FootnoteTextChar">
    <w:name w:val="Footnote Text Char"/>
    <w:basedOn w:val="DefaultParagraphFont"/>
    <w:link w:val="FootnoteText"/>
    <w:uiPriority w:val="99"/>
    <w:semiHidden/>
    <w:rsid w:val="00DD394B"/>
    <w:rPr>
      <w:sz w:val="20"/>
      <w:szCs w:val="20"/>
    </w:rPr>
  </w:style>
  <w:style w:type="character" w:styleId="HTMLAcronym">
    <w:name w:val="HTML Acronym"/>
    <w:basedOn w:val="DefaultParagraphFont"/>
    <w:uiPriority w:val="99"/>
    <w:semiHidden/>
    <w:rsid w:val="00DD394B"/>
  </w:style>
  <w:style w:type="paragraph" w:styleId="HTMLAddress">
    <w:name w:val="HTML Address"/>
    <w:basedOn w:val="Normal"/>
    <w:link w:val="HTMLAddressChar"/>
    <w:uiPriority w:val="99"/>
    <w:semiHidden/>
    <w:rsid w:val="00DD394B"/>
    <w:rPr>
      <w:i/>
      <w:iCs/>
    </w:rPr>
  </w:style>
  <w:style w:type="character" w:customStyle="1" w:styleId="HTMLAddressChar">
    <w:name w:val="HTML Address Char"/>
    <w:basedOn w:val="DefaultParagraphFont"/>
    <w:link w:val="HTMLAddress"/>
    <w:uiPriority w:val="99"/>
    <w:semiHidden/>
    <w:rsid w:val="00DD394B"/>
    <w:rPr>
      <w:i/>
      <w:iCs/>
    </w:rPr>
  </w:style>
  <w:style w:type="character" w:styleId="HTMLCite">
    <w:name w:val="HTML Cite"/>
    <w:basedOn w:val="DefaultParagraphFont"/>
    <w:uiPriority w:val="99"/>
    <w:semiHidden/>
    <w:rsid w:val="00DD394B"/>
    <w:rPr>
      <w:i/>
      <w:iCs/>
    </w:rPr>
  </w:style>
  <w:style w:type="character" w:styleId="HTMLCode">
    <w:name w:val="HTML Code"/>
    <w:basedOn w:val="DefaultParagraphFont"/>
    <w:uiPriority w:val="99"/>
    <w:semiHidden/>
    <w:rsid w:val="00DD394B"/>
    <w:rPr>
      <w:rFonts w:ascii="Consolas" w:hAnsi="Consolas"/>
      <w:sz w:val="20"/>
      <w:szCs w:val="20"/>
    </w:rPr>
  </w:style>
  <w:style w:type="character" w:styleId="HTMLDefinition">
    <w:name w:val="HTML Definition"/>
    <w:basedOn w:val="DefaultParagraphFont"/>
    <w:uiPriority w:val="99"/>
    <w:semiHidden/>
    <w:rsid w:val="00DD394B"/>
    <w:rPr>
      <w:i/>
      <w:iCs/>
    </w:rPr>
  </w:style>
  <w:style w:type="character" w:styleId="HTMLKeyboard">
    <w:name w:val="HTML Keyboard"/>
    <w:basedOn w:val="DefaultParagraphFont"/>
    <w:uiPriority w:val="99"/>
    <w:semiHidden/>
    <w:rsid w:val="00DD394B"/>
    <w:rPr>
      <w:rFonts w:ascii="Consolas" w:hAnsi="Consolas"/>
      <w:sz w:val="20"/>
      <w:szCs w:val="20"/>
    </w:rPr>
  </w:style>
  <w:style w:type="paragraph" w:styleId="HTMLPreformatted">
    <w:name w:val="HTML Preformatted"/>
    <w:basedOn w:val="Normal"/>
    <w:link w:val="HTMLPreformattedChar"/>
    <w:uiPriority w:val="99"/>
    <w:semiHidden/>
    <w:rsid w:val="00DD394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394B"/>
    <w:rPr>
      <w:rFonts w:ascii="Consolas" w:hAnsi="Consolas"/>
      <w:sz w:val="20"/>
      <w:szCs w:val="20"/>
    </w:rPr>
  </w:style>
  <w:style w:type="character" w:styleId="HTMLSample">
    <w:name w:val="HTML Sample"/>
    <w:basedOn w:val="DefaultParagraphFont"/>
    <w:uiPriority w:val="99"/>
    <w:semiHidden/>
    <w:rsid w:val="00DD394B"/>
    <w:rPr>
      <w:rFonts w:ascii="Consolas" w:hAnsi="Consolas"/>
      <w:sz w:val="24"/>
      <w:szCs w:val="24"/>
    </w:rPr>
  </w:style>
  <w:style w:type="character" w:styleId="HTMLTypewriter">
    <w:name w:val="HTML Typewriter"/>
    <w:basedOn w:val="DefaultParagraphFont"/>
    <w:uiPriority w:val="99"/>
    <w:semiHidden/>
    <w:rsid w:val="00DD394B"/>
    <w:rPr>
      <w:rFonts w:ascii="Consolas" w:hAnsi="Consolas"/>
      <w:sz w:val="20"/>
      <w:szCs w:val="20"/>
    </w:rPr>
  </w:style>
  <w:style w:type="character" w:styleId="HTMLVariable">
    <w:name w:val="HTML Variable"/>
    <w:basedOn w:val="DefaultParagraphFont"/>
    <w:uiPriority w:val="99"/>
    <w:semiHidden/>
    <w:rsid w:val="00DD394B"/>
    <w:rPr>
      <w:i/>
      <w:iCs/>
    </w:rPr>
  </w:style>
  <w:style w:type="character" w:styleId="Hyperlink">
    <w:name w:val="Hyperlink"/>
    <w:basedOn w:val="DefaultParagraphFont"/>
    <w:uiPriority w:val="99"/>
    <w:semiHidden/>
    <w:rsid w:val="00DD394B"/>
    <w:rPr>
      <w:color w:val="0000FF" w:themeColor="hyperlink"/>
      <w:u w:val="single"/>
    </w:rPr>
  </w:style>
  <w:style w:type="paragraph" w:styleId="Index2">
    <w:name w:val="index 2"/>
    <w:basedOn w:val="Normal"/>
    <w:next w:val="Normal"/>
    <w:autoRedefine/>
    <w:uiPriority w:val="99"/>
    <w:semiHidden/>
    <w:rsid w:val="00DD394B"/>
    <w:pPr>
      <w:ind w:left="480" w:hanging="240"/>
    </w:pPr>
  </w:style>
  <w:style w:type="paragraph" w:styleId="Index3">
    <w:name w:val="index 3"/>
    <w:basedOn w:val="Normal"/>
    <w:next w:val="Normal"/>
    <w:autoRedefine/>
    <w:uiPriority w:val="99"/>
    <w:semiHidden/>
    <w:rsid w:val="00DD394B"/>
    <w:pPr>
      <w:ind w:left="720" w:hanging="240"/>
    </w:pPr>
  </w:style>
  <w:style w:type="paragraph" w:styleId="Index4">
    <w:name w:val="index 4"/>
    <w:basedOn w:val="Normal"/>
    <w:next w:val="Normal"/>
    <w:autoRedefine/>
    <w:uiPriority w:val="99"/>
    <w:semiHidden/>
    <w:rsid w:val="00DD394B"/>
    <w:pPr>
      <w:ind w:left="960" w:hanging="240"/>
    </w:pPr>
  </w:style>
  <w:style w:type="paragraph" w:styleId="Index5">
    <w:name w:val="index 5"/>
    <w:basedOn w:val="Normal"/>
    <w:next w:val="Normal"/>
    <w:autoRedefine/>
    <w:uiPriority w:val="99"/>
    <w:semiHidden/>
    <w:rsid w:val="00DD394B"/>
    <w:pPr>
      <w:ind w:left="1200" w:hanging="240"/>
    </w:pPr>
  </w:style>
  <w:style w:type="paragraph" w:styleId="Index6">
    <w:name w:val="index 6"/>
    <w:basedOn w:val="Normal"/>
    <w:next w:val="Normal"/>
    <w:autoRedefine/>
    <w:uiPriority w:val="99"/>
    <w:semiHidden/>
    <w:rsid w:val="00DD394B"/>
    <w:pPr>
      <w:ind w:left="1440" w:hanging="240"/>
    </w:pPr>
  </w:style>
  <w:style w:type="paragraph" w:styleId="Index7">
    <w:name w:val="index 7"/>
    <w:basedOn w:val="Normal"/>
    <w:next w:val="Normal"/>
    <w:autoRedefine/>
    <w:uiPriority w:val="99"/>
    <w:semiHidden/>
    <w:rsid w:val="00DD394B"/>
    <w:pPr>
      <w:ind w:left="1680" w:hanging="240"/>
    </w:pPr>
  </w:style>
  <w:style w:type="paragraph" w:styleId="Index8">
    <w:name w:val="index 8"/>
    <w:basedOn w:val="Normal"/>
    <w:next w:val="Normal"/>
    <w:autoRedefine/>
    <w:uiPriority w:val="99"/>
    <w:semiHidden/>
    <w:rsid w:val="00DD394B"/>
    <w:pPr>
      <w:ind w:left="1920" w:hanging="240"/>
    </w:pPr>
  </w:style>
  <w:style w:type="paragraph" w:styleId="Index9">
    <w:name w:val="index 9"/>
    <w:basedOn w:val="Normal"/>
    <w:next w:val="Normal"/>
    <w:autoRedefine/>
    <w:uiPriority w:val="99"/>
    <w:semiHidden/>
    <w:rsid w:val="00DD394B"/>
    <w:pPr>
      <w:ind w:left="2160" w:hanging="240"/>
    </w:pPr>
  </w:style>
  <w:style w:type="character" w:styleId="IntenseEmphasis">
    <w:name w:val="Intense Emphasis"/>
    <w:basedOn w:val="DefaultParagraphFont"/>
    <w:uiPriority w:val="21"/>
    <w:semiHidden/>
    <w:rsid w:val="00DD394B"/>
    <w:rPr>
      <w:b/>
      <w:bCs/>
      <w:i/>
      <w:iCs/>
      <w:color w:val="4F81BD" w:themeColor="accent1"/>
    </w:rPr>
  </w:style>
  <w:style w:type="paragraph" w:styleId="IntenseQuote">
    <w:name w:val="Intense Quote"/>
    <w:basedOn w:val="Normal"/>
    <w:next w:val="Normal"/>
    <w:link w:val="IntenseQuoteChar"/>
    <w:uiPriority w:val="30"/>
    <w:semiHidden/>
    <w:rsid w:val="00DD394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DD394B"/>
    <w:rPr>
      <w:b/>
      <w:bCs/>
      <w:i/>
      <w:iCs/>
      <w:color w:val="4F81BD" w:themeColor="accent1"/>
    </w:rPr>
  </w:style>
  <w:style w:type="character" w:styleId="IntenseReference">
    <w:name w:val="Intense Reference"/>
    <w:basedOn w:val="DefaultParagraphFont"/>
    <w:uiPriority w:val="32"/>
    <w:semiHidden/>
    <w:rsid w:val="00DD394B"/>
    <w:rPr>
      <w:b/>
      <w:bCs/>
      <w:smallCaps/>
      <w:color w:val="C0504D" w:themeColor="accent2"/>
      <w:spacing w:val="5"/>
      <w:u w:val="single"/>
    </w:rPr>
  </w:style>
  <w:style w:type="character" w:styleId="LineNumber">
    <w:name w:val="line number"/>
    <w:basedOn w:val="DefaultParagraphFont"/>
    <w:uiPriority w:val="99"/>
    <w:semiHidden/>
    <w:rsid w:val="00DD394B"/>
  </w:style>
  <w:style w:type="paragraph" w:styleId="List">
    <w:name w:val="List"/>
    <w:basedOn w:val="Normal"/>
    <w:uiPriority w:val="99"/>
    <w:semiHidden/>
    <w:rsid w:val="00DD394B"/>
    <w:pPr>
      <w:ind w:left="360" w:hanging="360"/>
      <w:contextualSpacing/>
    </w:pPr>
  </w:style>
  <w:style w:type="paragraph" w:styleId="List2">
    <w:name w:val="List 2"/>
    <w:basedOn w:val="Normal"/>
    <w:uiPriority w:val="99"/>
    <w:semiHidden/>
    <w:rsid w:val="00DD394B"/>
    <w:pPr>
      <w:ind w:left="720" w:hanging="360"/>
      <w:contextualSpacing/>
    </w:pPr>
  </w:style>
  <w:style w:type="paragraph" w:styleId="List3">
    <w:name w:val="List 3"/>
    <w:basedOn w:val="Normal"/>
    <w:uiPriority w:val="99"/>
    <w:semiHidden/>
    <w:rsid w:val="00DD394B"/>
    <w:pPr>
      <w:ind w:left="1080" w:hanging="360"/>
      <w:contextualSpacing/>
    </w:pPr>
  </w:style>
  <w:style w:type="paragraph" w:styleId="List4">
    <w:name w:val="List 4"/>
    <w:basedOn w:val="Normal"/>
    <w:uiPriority w:val="99"/>
    <w:semiHidden/>
    <w:rsid w:val="00DD394B"/>
    <w:pPr>
      <w:ind w:left="1440" w:hanging="360"/>
      <w:contextualSpacing/>
    </w:pPr>
  </w:style>
  <w:style w:type="paragraph" w:styleId="List5">
    <w:name w:val="List 5"/>
    <w:basedOn w:val="Normal"/>
    <w:uiPriority w:val="99"/>
    <w:semiHidden/>
    <w:rsid w:val="00DD394B"/>
    <w:pPr>
      <w:ind w:left="1800" w:hanging="360"/>
      <w:contextualSpacing/>
    </w:pPr>
  </w:style>
  <w:style w:type="paragraph" w:styleId="ListBullet">
    <w:name w:val="List Bullet"/>
    <w:basedOn w:val="Normal"/>
    <w:uiPriority w:val="99"/>
    <w:semiHidden/>
    <w:rsid w:val="00DD394B"/>
    <w:pPr>
      <w:numPr>
        <w:numId w:val="10"/>
      </w:numPr>
      <w:contextualSpacing/>
    </w:pPr>
  </w:style>
  <w:style w:type="paragraph" w:styleId="ListBullet2">
    <w:name w:val="List Bullet 2"/>
    <w:basedOn w:val="Normal"/>
    <w:uiPriority w:val="99"/>
    <w:semiHidden/>
    <w:rsid w:val="00DD394B"/>
    <w:pPr>
      <w:numPr>
        <w:numId w:val="11"/>
      </w:numPr>
      <w:contextualSpacing/>
    </w:pPr>
  </w:style>
  <w:style w:type="paragraph" w:styleId="ListBullet3">
    <w:name w:val="List Bullet 3"/>
    <w:basedOn w:val="Normal"/>
    <w:uiPriority w:val="99"/>
    <w:semiHidden/>
    <w:rsid w:val="00DD394B"/>
    <w:pPr>
      <w:numPr>
        <w:numId w:val="12"/>
      </w:numPr>
      <w:contextualSpacing/>
    </w:pPr>
  </w:style>
  <w:style w:type="paragraph" w:styleId="ListBullet4">
    <w:name w:val="List Bullet 4"/>
    <w:basedOn w:val="Normal"/>
    <w:uiPriority w:val="99"/>
    <w:semiHidden/>
    <w:rsid w:val="00DD394B"/>
    <w:pPr>
      <w:numPr>
        <w:numId w:val="13"/>
      </w:numPr>
      <w:contextualSpacing/>
    </w:pPr>
  </w:style>
  <w:style w:type="paragraph" w:styleId="ListBullet5">
    <w:name w:val="List Bullet 5"/>
    <w:basedOn w:val="Normal"/>
    <w:uiPriority w:val="99"/>
    <w:semiHidden/>
    <w:rsid w:val="00DD394B"/>
    <w:pPr>
      <w:numPr>
        <w:numId w:val="14"/>
      </w:numPr>
      <w:contextualSpacing/>
    </w:pPr>
  </w:style>
  <w:style w:type="paragraph" w:styleId="ListContinue">
    <w:name w:val="List Continue"/>
    <w:basedOn w:val="Normal"/>
    <w:uiPriority w:val="99"/>
    <w:semiHidden/>
    <w:rsid w:val="00DD394B"/>
    <w:pPr>
      <w:spacing w:after="120"/>
      <w:ind w:left="360"/>
      <w:contextualSpacing/>
    </w:pPr>
  </w:style>
  <w:style w:type="paragraph" w:styleId="ListContinue2">
    <w:name w:val="List Continue 2"/>
    <w:basedOn w:val="Normal"/>
    <w:uiPriority w:val="99"/>
    <w:semiHidden/>
    <w:rsid w:val="00DD394B"/>
    <w:pPr>
      <w:spacing w:after="120"/>
      <w:ind w:left="720"/>
      <w:contextualSpacing/>
    </w:pPr>
  </w:style>
  <w:style w:type="paragraph" w:styleId="ListContinue3">
    <w:name w:val="List Continue 3"/>
    <w:basedOn w:val="Normal"/>
    <w:uiPriority w:val="99"/>
    <w:semiHidden/>
    <w:rsid w:val="00DD394B"/>
    <w:pPr>
      <w:spacing w:after="120"/>
      <w:ind w:left="1080"/>
      <w:contextualSpacing/>
    </w:pPr>
  </w:style>
  <w:style w:type="paragraph" w:styleId="ListContinue4">
    <w:name w:val="List Continue 4"/>
    <w:basedOn w:val="Normal"/>
    <w:uiPriority w:val="99"/>
    <w:semiHidden/>
    <w:rsid w:val="00DD394B"/>
    <w:pPr>
      <w:spacing w:after="120"/>
      <w:ind w:left="1440"/>
      <w:contextualSpacing/>
    </w:pPr>
  </w:style>
  <w:style w:type="paragraph" w:styleId="ListContinue5">
    <w:name w:val="List Continue 5"/>
    <w:basedOn w:val="Normal"/>
    <w:uiPriority w:val="99"/>
    <w:semiHidden/>
    <w:rsid w:val="00DD394B"/>
    <w:pPr>
      <w:spacing w:after="120"/>
      <w:ind w:left="1800"/>
      <w:contextualSpacing/>
    </w:pPr>
  </w:style>
  <w:style w:type="paragraph" w:styleId="ListNumber">
    <w:name w:val="List Number"/>
    <w:basedOn w:val="Normal"/>
    <w:uiPriority w:val="99"/>
    <w:semiHidden/>
    <w:rsid w:val="00DD394B"/>
    <w:pPr>
      <w:numPr>
        <w:numId w:val="15"/>
      </w:numPr>
      <w:contextualSpacing/>
    </w:pPr>
  </w:style>
  <w:style w:type="paragraph" w:styleId="ListNumber2">
    <w:name w:val="List Number 2"/>
    <w:basedOn w:val="Normal"/>
    <w:uiPriority w:val="99"/>
    <w:semiHidden/>
    <w:rsid w:val="00DD394B"/>
    <w:pPr>
      <w:numPr>
        <w:numId w:val="16"/>
      </w:numPr>
      <w:contextualSpacing/>
    </w:pPr>
  </w:style>
  <w:style w:type="paragraph" w:styleId="ListNumber3">
    <w:name w:val="List Number 3"/>
    <w:basedOn w:val="Normal"/>
    <w:uiPriority w:val="99"/>
    <w:semiHidden/>
    <w:rsid w:val="00DD394B"/>
    <w:pPr>
      <w:numPr>
        <w:numId w:val="17"/>
      </w:numPr>
      <w:contextualSpacing/>
    </w:pPr>
  </w:style>
  <w:style w:type="paragraph" w:styleId="ListNumber4">
    <w:name w:val="List Number 4"/>
    <w:basedOn w:val="Normal"/>
    <w:uiPriority w:val="99"/>
    <w:semiHidden/>
    <w:rsid w:val="00DD394B"/>
    <w:pPr>
      <w:numPr>
        <w:numId w:val="18"/>
      </w:numPr>
      <w:contextualSpacing/>
    </w:pPr>
  </w:style>
  <w:style w:type="paragraph" w:styleId="ListNumber5">
    <w:name w:val="List Number 5"/>
    <w:basedOn w:val="Normal"/>
    <w:uiPriority w:val="99"/>
    <w:semiHidden/>
    <w:rsid w:val="00DD394B"/>
    <w:pPr>
      <w:numPr>
        <w:numId w:val="19"/>
      </w:numPr>
      <w:contextualSpacing/>
    </w:pPr>
  </w:style>
  <w:style w:type="paragraph" w:styleId="MacroText">
    <w:name w:val="macro"/>
    <w:link w:val="MacroTextChar"/>
    <w:uiPriority w:val="99"/>
    <w:semiHidden/>
    <w:rsid w:val="00DD394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DD394B"/>
    <w:rPr>
      <w:rFonts w:ascii="Consolas" w:hAnsi="Consolas"/>
      <w:sz w:val="20"/>
      <w:szCs w:val="20"/>
    </w:rPr>
  </w:style>
  <w:style w:type="paragraph" w:styleId="NoSpacing">
    <w:name w:val="No Spacing"/>
    <w:uiPriority w:val="1"/>
    <w:semiHidden/>
    <w:rsid w:val="00DD394B"/>
  </w:style>
  <w:style w:type="paragraph" w:styleId="NormalWeb">
    <w:name w:val="Normal (Web)"/>
    <w:basedOn w:val="Normal"/>
    <w:uiPriority w:val="99"/>
    <w:semiHidden/>
    <w:rsid w:val="00DD394B"/>
    <w:rPr>
      <w:rFonts w:cs="Times New Roman"/>
    </w:rPr>
  </w:style>
  <w:style w:type="paragraph" w:styleId="NormalIndent">
    <w:name w:val="Normal Indent"/>
    <w:basedOn w:val="Normal"/>
    <w:uiPriority w:val="99"/>
    <w:semiHidden/>
    <w:rsid w:val="00DD394B"/>
    <w:pPr>
      <w:ind w:left="720"/>
    </w:pPr>
  </w:style>
  <w:style w:type="paragraph" w:styleId="NoteHeading">
    <w:name w:val="Note Heading"/>
    <w:basedOn w:val="Normal"/>
    <w:next w:val="Normal"/>
    <w:link w:val="NoteHeadingChar"/>
    <w:uiPriority w:val="99"/>
    <w:semiHidden/>
    <w:rsid w:val="00DD394B"/>
  </w:style>
  <w:style w:type="character" w:customStyle="1" w:styleId="NoteHeadingChar">
    <w:name w:val="Note Heading Char"/>
    <w:basedOn w:val="DefaultParagraphFont"/>
    <w:link w:val="NoteHeading"/>
    <w:uiPriority w:val="99"/>
    <w:semiHidden/>
    <w:rsid w:val="00DD394B"/>
  </w:style>
  <w:style w:type="character" w:styleId="PageNumber">
    <w:name w:val="page number"/>
    <w:basedOn w:val="DefaultParagraphFont"/>
    <w:uiPriority w:val="99"/>
    <w:semiHidden/>
    <w:rsid w:val="00DD394B"/>
  </w:style>
  <w:style w:type="character" w:styleId="PlaceholderText">
    <w:name w:val="Placeholder Text"/>
    <w:basedOn w:val="DefaultParagraphFont"/>
    <w:uiPriority w:val="99"/>
    <w:semiHidden/>
    <w:rsid w:val="00DD394B"/>
    <w:rPr>
      <w:color w:val="808080"/>
    </w:rPr>
  </w:style>
  <w:style w:type="paragraph" w:styleId="PlainText">
    <w:name w:val="Plain Text"/>
    <w:basedOn w:val="Normal"/>
    <w:link w:val="PlainTextChar"/>
    <w:uiPriority w:val="99"/>
    <w:semiHidden/>
    <w:rsid w:val="00DD394B"/>
    <w:rPr>
      <w:rFonts w:ascii="Consolas" w:hAnsi="Consolas"/>
      <w:sz w:val="21"/>
      <w:szCs w:val="21"/>
    </w:rPr>
  </w:style>
  <w:style w:type="character" w:customStyle="1" w:styleId="PlainTextChar">
    <w:name w:val="Plain Text Char"/>
    <w:basedOn w:val="DefaultParagraphFont"/>
    <w:link w:val="PlainText"/>
    <w:uiPriority w:val="99"/>
    <w:semiHidden/>
    <w:rsid w:val="00DD394B"/>
    <w:rPr>
      <w:rFonts w:ascii="Consolas" w:hAnsi="Consolas"/>
      <w:sz w:val="21"/>
      <w:szCs w:val="21"/>
    </w:rPr>
  </w:style>
  <w:style w:type="paragraph" w:styleId="Quote">
    <w:name w:val="Quote"/>
    <w:basedOn w:val="Normal"/>
    <w:next w:val="Normal"/>
    <w:link w:val="QuoteChar"/>
    <w:uiPriority w:val="29"/>
    <w:semiHidden/>
    <w:rsid w:val="00DD394B"/>
    <w:rPr>
      <w:i/>
      <w:iCs/>
      <w:color w:val="000000" w:themeColor="text1"/>
    </w:rPr>
  </w:style>
  <w:style w:type="character" w:customStyle="1" w:styleId="QuoteChar">
    <w:name w:val="Quote Char"/>
    <w:basedOn w:val="DefaultParagraphFont"/>
    <w:link w:val="Quote"/>
    <w:uiPriority w:val="29"/>
    <w:semiHidden/>
    <w:rsid w:val="00DD394B"/>
    <w:rPr>
      <w:i/>
      <w:iCs/>
      <w:color w:val="000000" w:themeColor="text1"/>
    </w:rPr>
  </w:style>
  <w:style w:type="paragraph" w:styleId="Salutation">
    <w:name w:val="Salutation"/>
    <w:basedOn w:val="Normal"/>
    <w:next w:val="Normal"/>
    <w:link w:val="SalutationChar"/>
    <w:uiPriority w:val="99"/>
    <w:semiHidden/>
    <w:rsid w:val="00DD394B"/>
  </w:style>
  <w:style w:type="character" w:customStyle="1" w:styleId="SalutationChar">
    <w:name w:val="Salutation Char"/>
    <w:basedOn w:val="DefaultParagraphFont"/>
    <w:link w:val="Salutation"/>
    <w:uiPriority w:val="99"/>
    <w:semiHidden/>
    <w:rsid w:val="00DD394B"/>
  </w:style>
  <w:style w:type="paragraph" w:styleId="Signature">
    <w:name w:val="Signature"/>
    <w:basedOn w:val="Normal"/>
    <w:link w:val="SignatureChar"/>
    <w:uiPriority w:val="99"/>
    <w:semiHidden/>
    <w:rsid w:val="00DD394B"/>
    <w:pPr>
      <w:ind w:left="4320"/>
    </w:pPr>
  </w:style>
  <w:style w:type="character" w:customStyle="1" w:styleId="SignatureChar">
    <w:name w:val="Signature Char"/>
    <w:basedOn w:val="DefaultParagraphFont"/>
    <w:link w:val="Signature"/>
    <w:uiPriority w:val="99"/>
    <w:semiHidden/>
    <w:rsid w:val="00DD394B"/>
  </w:style>
  <w:style w:type="character" w:styleId="Strong">
    <w:name w:val="Strong"/>
    <w:basedOn w:val="DefaultParagraphFont"/>
    <w:uiPriority w:val="22"/>
    <w:semiHidden/>
    <w:rsid w:val="00DD394B"/>
    <w:rPr>
      <w:b/>
      <w:bCs/>
    </w:rPr>
  </w:style>
  <w:style w:type="character" w:styleId="SubtleEmphasis">
    <w:name w:val="Subtle Emphasis"/>
    <w:basedOn w:val="DefaultParagraphFont"/>
    <w:uiPriority w:val="19"/>
    <w:semiHidden/>
    <w:rsid w:val="00DD394B"/>
    <w:rPr>
      <w:i/>
      <w:iCs/>
      <w:color w:val="808080" w:themeColor="text1" w:themeTint="7F"/>
    </w:rPr>
  </w:style>
  <w:style w:type="character" w:styleId="SubtleReference">
    <w:name w:val="Subtle Reference"/>
    <w:basedOn w:val="DefaultParagraphFont"/>
    <w:uiPriority w:val="31"/>
    <w:semiHidden/>
    <w:rsid w:val="00DD394B"/>
    <w:rPr>
      <w:smallCaps/>
      <w:color w:val="C0504D" w:themeColor="accent2"/>
      <w:u w:val="single"/>
    </w:rPr>
  </w:style>
  <w:style w:type="paragraph" w:styleId="TableofAuthorities">
    <w:name w:val="table of authorities"/>
    <w:basedOn w:val="Normal"/>
    <w:next w:val="Normal"/>
    <w:uiPriority w:val="99"/>
    <w:semiHidden/>
    <w:unhideWhenUsed/>
    <w:rsid w:val="00DD394B"/>
    <w:pPr>
      <w:ind w:left="240" w:hanging="240"/>
    </w:pPr>
  </w:style>
  <w:style w:type="paragraph" w:styleId="TableofFigures">
    <w:name w:val="table of figures"/>
    <w:basedOn w:val="Normal"/>
    <w:next w:val="Normal"/>
    <w:uiPriority w:val="99"/>
    <w:semiHidden/>
    <w:rsid w:val="00DD394B"/>
  </w:style>
  <w:style w:type="paragraph" w:styleId="TOC1">
    <w:name w:val="toc 1"/>
    <w:basedOn w:val="Normal"/>
    <w:next w:val="Normal"/>
    <w:autoRedefine/>
    <w:uiPriority w:val="39"/>
    <w:semiHidden/>
    <w:unhideWhenUsed/>
    <w:rsid w:val="00DD394B"/>
    <w:pPr>
      <w:spacing w:after="100"/>
    </w:pPr>
  </w:style>
  <w:style w:type="paragraph" w:styleId="TOC2">
    <w:name w:val="toc 2"/>
    <w:basedOn w:val="Normal"/>
    <w:next w:val="Normal"/>
    <w:autoRedefine/>
    <w:uiPriority w:val="39"/>
    <w:semiHidden/>
    <w:unhideWhenUsed/>
    <w:rsid w:val="00DD394B"/>
    <w:pPr>
      <w:spacing w:after="100"/>
      <w:ind w:left="240"/>
    </w:pPr>
  </w:style>
  <w:style w:type="paragraph" w:styleId="TOC3">
    <w:name w:val="toc 3"/>
    <w:basedOn w:val="Normal"/>
    <w:next w:val="Normal"/>
    <w:autoRedefine/>
    <w:uiPriority w:val="39"/>
    <w:semiHidden/>
    <w:unhideWhenUsed/>
    <w:rsid w:val="00DD394B"/>
    <w:pPr>
      <w:spacing w:after="100"/>
      <w:ind w:left="480"/>
    </w:pPr>
  </w:style>
  <w:style w:type="paragraph" w:styleId="TOC4">
    <w:name w:val="toc 4"/>
    <w:basedOn w:val="Normal"/>
    <w:next w:val="Normal"/>
    <w:autoRedefine/>
    <w:uiPriority w:val="39"/>
    <w:semiHidden/>
    <w:unhideWhenUsed/>
    <w:rsid w:val="00DD394B"/>
    <w:pPr>
      <w:spacing w:after="100"/>
      <w:ind w:left="720"/>
    </w:pPr>
  </w:style>
  <w:style w:type="paragraph" w:styleId="TOC5">
    <w:name w:val="toc 5"/>
    <w:basedOn w:val="Normal"/>
    <w:next w:val="Normal"/>
    <w:autoRedefine/>
    <w:uiPriority w:val="39"/>
    <w:semiHidden/>
    <w:unhideWhenUsed/>
    <w:rsid w:val="00DD394B"/>
    <w:pPr>
      <w:spacing w:after="100"/>
      <w:ind w:left="960"/>
    </w:pPr>
  </w:style>
  <w:style w:type="paragraph" w:styleId="TOC6">
    <w:name w:val="toc 6"/>
    <w:basedOn w:val="Normal"/>
    <w:next w:val="Normal"/>
    <w:autoRedefine/>
    <w:uiPriority w:val="39"/>
    <w:semiHidden/>
    <w:unhideWhenUsed/>
    <w:rsid w:val="00DD394B"/>
    <w:pPr>
      <w:spacing w:after="100"/>
      <w:ind w:left="1200"/>
    </w:pPr>
  </w:style>
  <w:style w:type="paragraph" w:styleId="TOC7">
    <w:name w:val="toc 7"/>
    <w:basedOn w:val="Normal"/>
    <w:next w:val="Normal"/>
    <w:autoRedefine/>
    <w:uiPriority w:val="39"/>
    <w:semiHidden/>
    <w:unhideWhenUsed/>
    <w:rsid w:val="00DD394B"/>
    <w:pPr>
      <w:spacing w:after="100"/>
      <w:ind w:left="1440"/>
    </w:pPr>
  </w:style>
  <w:style w:type="paragraph" w:styleId="TOC8">
    <w:name w:val="toc 8"/>
    <w:basedOn w:val="Normal"/>
    <w:next w:val="Normal"/>
    <w:autoRedefine/>
    <w:uiPriority w:val="39"/>
    <w:semiHidden/>
    <w:unhideWhenUsed/>
    <w:rsid w:val="00DD394B"/>
    <w:pPr>
      <w:spacing w:after="100"/>
      <w:ind w:left="1680"/>
    </w:pPr>
  </w:style>
  <w:style w:type="paragraph" w:styleId="TOC9">
    <w:name w:val="toc 9"/>
    <w:basedOn w:val="Normal"/>
    <w:next w:val="Normal"/>
    <w:autoRedefine/>
    <w:uiPriority w:val="39"/>
    <w:semiHidden/>
    <w:unhideWhenUsed/>
    <w:rsid w:val="00DD394B"/>
    <w:pPr>
      <w:spacing w:after="100"/>
      <w:ind w:left="1920"/>
    </w:pPr>
  </w:style>
  <w:style w:type="table" w:styleId="TableGrid">
    <w:name w:val="Table Grid"/>
    <w:basedOn w:val="TableNormal"/>
    <w:uiPriority w:val="59"/>
    <w:rsid w:val="00DD3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df94">
    <w:name w:val="idf94"/>
    <w:basedOn w:val="Normal"/>
    <w:rsid w:val="008164C2"/>
    <w:pPr>
      <w:spacing w:before="100" w:beforeAutospacing="1" w:after="100" w:afterAutospacing="1"/>
    </w:pPr>
    <w:rPr>
      <w:rFonts w:eastAsia="Times New Roman" w:cs="Times New Roman"/>
    </w:rPr>
  </w:style>
  <w:style w:type="character" w:customStyle="1" w:styleId="idf37">
    <w:name w:val="idf37"/>
    <w:basedOn w:val="DefaultParagraphFont"/>
    <w:rsid w:val="00816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65400">
      <w:bodyDiv w:val="1"/>
      <w:marLeft w:val="0"/>
      <w:marRight w:val="0"/>
      <w:marTop w:val="0"/>
      <w:marBottom w:val="0"/>
      <w:divBdr>
        <w:top w:val="none" w:sz="0" w:space="0" w:color="auto"/>
        <w:left w:val="none" w:sz="0" w:space="0" w:color="auto"/>
        <w:bottom w:val="none" w:sz="0" w:space="0" w:color="auto"/>
        <w:right w:val="none" w:sz="0" w:space="0" w:color="auto"/>
      </w:divBdr>
      <w:divsChild>
        <w:div w:id="1932929818">
          <w:marLeft w:val="0"/>
          <w:marRight w:val="0"/>
          <w:marTop w:val="0"/>
          <w:marBottom w:val="0"/>
          <w:divBdr>
            <w:top w:val="none" w:sz="0" w:space="0" w:color="auto"/>
            <w:left w:val="none" w:sz="0" w:space="0" w:color="auto"/>
            <w:bottom w:val="none" w:sz="0" w:space="0" w:color="auto"/>
            <w:right w:val="none" w:sz="0" w:space="0" w:color="auto"/>
          </w:divBdr>
          <w:divsChild>
            <w:div w:id="633945349">
              <w:marLeft w:val="0"/>
              <w:marRight w:val="0"/>
              <w:marTop w:val="0"/>
              <w:marBottom w:val="0"/>
              <w:divBdr>
                <w:top w:val="none" w:sz="0" w:space="0" w:color="auto"/>
                <w:left w:val="none" w:sz="0" w:space="0" w:color="auto"/>
                <w:bottom w:val="none" w:sz="0" w:space="0" w:color="auto"/>
                <w:right w:val="none" w:sz="0" w:space="0" w:color="auto"/>
              </w:divBdr>
              <w:divsChild>
                <w:div w:id="477305365">
                  <w:marLeft w:val="0"/>
                  <w:marRight w:val="0"/>
                  <w:marTop w:val="0"/>
                  <w:marBottom w:val="0"/>
                  <w:divBdr>
                    <w:top w:val="none" w:sz="0" w:space="0" w:color="auto"/>
                    <w:left w:val="none" w:sz="0" w:space="0" w:color="auto"/>
                    <w:bottom w:val="none" w:sz="0" w:space="0" w:color="auto"/>
                    <w:right w:val="none" w:sz="0" w:space="0" w:color="auto"/>
                  </w:divBdr>
                  <w:divsChild>
                    <w:div w:id="1069423318">
                      <w:marLeft w:val="0"/>
                      <w:marRight w:val="0"/>
                      <w:marTop w:val="0"/>
                      <w:marBottom w:val="0"/>
                      <w:divBdr>
                        <w:top w:val="none" w:sz="0" w:space="0" w:color="auto"/>
                        <w:left w:val="none" w:sz="0" w:space="0" w:color="auto"/>
                        <w:bottom w:val="none" w:sz="0" w:space="0" w:color="auto"/>
                        <w:right w:val="none" w:sz="0" w:space="0" w:color="auto"/>
                      </w:divBdr>
                      <w:divsChild>
                        <w:div w:id="727537091">
                          <w:marLeft w:val="0"/>
                          <w:marRight w:val="0"/>
                          <w:marTop w:val="0"/>
                          <w:marBottom w:val="0"/>
                          <w:divBdr>
                            <w:top w:val="none" w:sz="0" w:space="0" w:color="auto"/>
                            <w:left w:val="none" w:sz="0" w:space="0" w:color="auto"/>
                            <w:bottom w:val="none" w:sz="0" w:space="0" w:color="auto"/>
                            <w:right w:val="none" w:sz="0" w:space="0" w:color="auto"/>
                          </w:divBdr>
                          <w:divsChild>
                            <w:div w:id="1284192534">
                              <w:marLeft w:val="0"/>
                              <w:marRight w:val="0"/>
                              <w:marTop w:val="0"/>
                              <w:marBottom w:val="0"/>
                              <w:divBdr>
                                <w:top w:val="none" w:sz="0" w:space="0" w:color="auto"/>
                                <w:left w:val="none" w:sz="0" w:space="0" w:color="auto"/>
                                <w:bottom w:val="none" w:sz="0" w:space="0" w:color="auto"/>
                                <w:right w:val="none" w:sz="0" w:space="0" w:color="auto"/>
                              </w:divBdr>
                              <w:divsChild>
                                <w:div w:id="1169175628">
                                  <w:marLeft w:val="0"/>
                                  <w:marRight w:val="0"/>
                                  <w:marTop w:val="0"/>
                                  <w:marBottom w:val="0"/>
                                  <w:divBdr>
                                    <w:top w:val="none" w:sz="0" w:space="0" w:color="auto"/>
                                    <w:left w:val="none" w:sz="0" w:space="0" w:color="auto"/>
                                    <w:bottom w:val="none" w:sz="0" w:space="0" w:color="auto"/>
                                    <w:right w:val="none" w:sz="0" w:space="0" w:color="auto"/>
                                  </w:divBdr>
                                  <w:divsChild>
                                    <w:div w:id="2096438145">
                                      <w:marLeft w:val="0"/>
                                      <w:marRight w:val="0"/>
                                      <w:marTop w:val="0"/>
                                      <w:marBottom w:val="0"/>
                                      <w:divBdr>
                                        <w:top w:val="none" w:sz="0" w:space="0" w:color="auto"/>
                                        <w:left w:val="none" w:sz="0" w:space="0" w:color="auto"/>
                                        <w:bottom w:val="none" w:sz="0" w:space="0" w:color="auto"/>
                                        <w:right w:val="none" w:sz="0" w:space="0" w:color="auto"/>
                                      </w:divBdr>
                                      <w:divsChild>
                                        <w:div w:id="796216048">
                                          <w:marLeft w:val="0"/>
                                          <w:marRight w:val="0"/>
                                          <w:marTop w:val="0"/>
                                          <w:marBottom w:val="0"/>
                                          <w:divBdr>
                                            <w:top w:val="none" w:sz="0" w:space="0" w:color="auto"/>
                                            <w:left w:val="none" w:sz="0" w:space="0" w:color="auto"/>
                                            <w:bottom w:val="none" w:sz="0" w:space="0" w:color="auto"/>
                                            <w:right w:val="none" w:sz="0" w:space="0" w:color="auto"/>
                                          </w:divBdr>
                                          <w:divsChild>
                                            <w:div w:id="925766792">
                                              <w:marLeft w:val="0"/>
                                              <w:marRight w:val="0"/>
                                              <w:marTop w:val="0"/>
                                              <w:marBottom w:val="0"/>
                                              <w:divBdr>
                                                <w:top w:val="none" w:sz="0" w:space="0" w:color="auto"/>
                                                <w:left w:val="none" w:sz="0" w:space="0" w:color="auto"/>
                                                <w:bottom w:val="none" w:sz="0" w:space="0" w:color="auto"/>
                                                <w:right w:val="none" w:sz="0" w:space="0" w:color="auto"/>
                                              </w:divBdr>
                                              <w:divsChild>
                                                <w:div w:id="184484158">
                                                  <w:marLeft w:val="0"/>
                                                  <w:marRight w:val="0"/>
                                                  <w:marTop w:val="0"/>
                                                  <w:marBottom w:val="0"/>
                                                  <w:divBdr>
                                                    <w:top w:val="none" w:sz="0" w:space="0" w:color="auto"/>
                                                    <w:left w:val="none" w:sz="0" w:space="0" w:color="auto"/>
                                                    <w:bottom w:val="none" w:sz="0" w:space="0" w:color="auto"/>
                                                    <w:right w:val="none" w:sz="0" w:space="0" w:color="auto"/>
                                                  </w:divBdr>
                                                  <w:divsChild>
                                                    <w:div w:id="1923903996">
                                                      <w:marLeft w:val="0"/>
                                                      <w:marRight w:val="0"/>
                                                      <w:marTop w:val="0"/>
                                                      <w:marBottom w:val="0"/>
                                                      <w:divBdr>
                                                        <w:top w:val="none" w:sz="0" w:space="0" w:color="auto"/>
                                                        <w:left w:val="none" w:sz="0" w:space="0" w:color="auto"/>
                                                        <w:bottom w:val="none" w:sz="0" w:space="0" w:color="auto"/>
                                                        <w:right w:val="none" w:sz="0" w:space="0" w:color="auto"/>
                                                      </w:divBdr>
                                                      <w:divsChild>
                                                        <w:div w:id="15694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073674">
      <w:bodyDiv w:val="1"/>
      <w:marLeft w:val="0"/>
      <w:marRight w:val="0"/>
      <w:marTop w:val="0"/>
      <w:marBottom w:val="0"/>
      <w:divBdr>
        <w:top w:val="none" w:sz="0" w:space="0" w:color="auto"/>
        <w:left w:val="none" w:sz="0" w:space="0" w:color="auto"/>
        <w:bottom w:val="none" w:sz="0" w:space="0" w:color="auto"/>
        <w:right w:val="none" w:sz="0" w:space="0" w:color="auto"/>
      </w:divBdr>
    </w:div>
    <w:div w:id="557669597">
      <w:bodyDiv w:val="1"/>
      <w:marLeft w:val="0"/>
      <w:marRight w:val="0"/>
      <w:marTop w:val="0"/>
      <w:marBottom w:val="0"/>
      <w:divBdr>
        <w:top w:val="none" w:sz="0" w:space="0" w:color="auto"/>
        <w:left w:val="none" w:sz="0" w:space="0" w:color="auto"/>
        <w:bottom w:val="none" w:sz="0" w:space="0" w:color="auto"/>
        <w:right w:val="none" w:sz="0" w:space="0" w:color="auto"/>
      </w:divBdr>
    </w:div>
    <w:div w:id="791826034">
      <w:bodyDiv w:val="1"/>
      <w:marLeft w:val="0"/>
      <w:marRight w:val="0"/>
      <w:marTop w:val="0"/>
      <w:marBottom w:val="0"/>
      <w:divBdr>
        <w:top w:val="none" w:sz="0" w:space="0" w:color="auto"/>
        <w:left w:val="none" w:sz="0" w:space="0" w:color="auto"/>
        <w:bottom w:val="none" w:sz="0" w:space="0" w:color="auto"/>
        <w:right w:val="none" w:sz="0" w:space="0" w:color="auto"/>
      </w:divBdr>
    </w:div>
    <w:div w:id="13068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RS%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EABDC-572C-46FE-B231-DAEF9149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4</Pages>
  <Words>4253</Words>
  <Characters>24247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28444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McNallen, Brendan M.</dc:creator>
  <cp:lastModifiedBy>Wasson, Russell D.</cp:lastModifiedBy>
  <cp:revision>2</cp:revision>
  <dcterms:created xsi:type="dcterms:W3CDTF">2012-11-29T19:34:00Z</dcterms:created>
  <dcterms:modified xsi:type="dcterms:W3CDTF">2012-11-29T19:34:00Z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US_ACTIVE-110542096.6-330245-00001</vt:lpwstr>
  </property>
</Properties>
</file>