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A3" w:rsidRDefault="00B13D73" w:rsidP="00B13D73">
      <w:r w:rsidRPr="00B13D73">
        <w:rPr>
          <w:b/>
        </w:rPr>
        <w:t>Tax appetite:</w:t>
      </w:r>
      <w:r>
        <w:t xml:space="preserve"> Individuals and businesses can reduce the amount of taxes owed by using tax credits. For a tax credit to have any value</w:t>
      </w:r>
      <w:bookmarkStart w:id="0" w:name="_GoBack"/>
      <w:bookmarkEnd w:id="0"/>
      <w:r>
        <w:t xml:space="preserve">, though, the individual or business must actually </w:t>
      </w:r>
      <w:r w:rsidRPr="00154AA3">
        <w:rPr>
          <w:u w:val="single"/>
        </w:rPr>
        <w:t>owe</w:t>
      </w:r>
      <w:r>
        <w:t xml:space="preserve"> taxes. If the individual or business is tax exempt or does not have sufficient income to need tax relief, the tax credits have no value. Individuals or businesses that can use tax credits to reduce the amount they owe in taxes are said to have a “tax appetite.” For example, public and nonprofit organizations are tax exempt, and therefore, do not have a tax appetite. </w:t>
      </w:r>
    </w:p>
    <w:p w:rsidR="00B13D73" w:rsidRDefault="00B13D73" w:rsidP="00B13D73">
      <w:r>
        <w:rPr>
          <w:b/>
          <w:bCs/>
        </w:rPr>
        <w:t>Investment Tax Credit (ITC)</w:t>
      </w:r>
      <w:r>
        <w:t xml:space="preserve">: Section 48 of the Internal Revenue Code defines the federal ITC. The ITC allows commercial, industrial, and utility owners of PV systems to take a one-time tax credit equivalent to 30% of qualified installed costs. </w:t>
      </w:r>
    </w:p>
    <w:p w:rsidR="00B13D73" w:rsidRDefault="00B13D73" w:rsidP="00B13D73">
      <w:r w:rsidRPr="00B13D73">
        <w:rPr>
          <w:b/>
        </w:rPr>
        <w:t>Power purchase agreement (PPA):</w:t>
      </w:r>
      <w:r>
        <w:t xml:space="preserve"> A PPA is an agreement between a wholesale energy producer and a utility under which the utility agrees to purchase power. The PPA includes details such as the rates paid for electricity and the time period during which it will be purchased. </w:t>
      </w:r>
    </w:p>
    <w:p w:rsidR="00B13D73" w:rsidRDefault="00B13D73" w:rsidP="00B13D73">
      <w:r w:rsidRPr="00B13D73">
        <w:rPr>
          <w:b/>
        </w:rPr>
        <w:t xml:space="preserve">Solar services agreement (SSA): </w:t>
      </w:r>
      <w:r>
        <w:t xml:space="preserve">A solar services agreement is an agreement that the system owner will provide specific services to ensure continued solar power. The system owner designs, installs, and maintains the system (a set of solar services) and signs an agreement with the host to continue to provide maintenance and solar power. </w:t>
      </w:r>
    </w:p>
    <w:p w:rsidR="00827563" w:rsidRDefault="00B13D73" w:rsidP="00827563">
      <w:r w:rsidRPr="00B13D73">
        <w:rPr>
          <w:b/>
        </w:rPr>
        <w:t>Renewable Energy Certificates (REC):</w:t>
      </w:r>
      <w:r>
        <w:t xml:space="preserve"> A renewable energy facility produces two distinct products. The first is electricity. The second is the package of environmental benefits resulting from not generating the same electricity—and emissions—from a conventional gas or coal-fired power plant. These environmental benefits can be packaged into a REC and sold separately from the electrical power. A REC represents the collective environmental benefits, such as avoided mercury, carbon dioxide (CO</w:t>
      </w:r>
      <w:r w:rsidRPr="00B13D73">
        <w:t>2</w:t>
      </w:r>
      <w:r>
        <w:t>), and other environmentally harmful pollutants, as a result of generating one megawatt-hour (</w:t>
      </w:r>
      <w:proofErr w:type="spellStart"/>
      <w:r>
        <w:t>MWh</w:t>
      </w:r>
      <w:proofErr w:type="spellEnd"/>
      <w:r>
        <w:t xml:space="preserve">) of renewable energy. </w:t>
      </w:r>
    </w:p>
    <w:p w:rsidR="00B13D73" w:rsidRDefault="00827563" w:rsidP="00B13D73">
      <w:r>
        <w:rPr>
          <w:b/>
          <w:bCs/>
        </w:rPr>
        <w:t>Securities</w:t>
      </w:r>
      <w:r>
        <w:t xml:space="preserve">: A security is an investment instrument issued by a corporation, government, or other organization that offers evidence of debt or equity. Any transaction that involves an investment of money in an enterprise, with an expectation of profits to be earned through the efforts of someone other than the investor, is a transaction involving a security. </w:t>
      </w:r>
      <w:r w:rsidRPr="003421C0">
        <w:rPr>
          <w:u w:val="single"/>
        </w:rPr>
        <w:t xml:space="preserve">Community shared solar organizers must be sure to comply with both state and federal securities regulations, and avoid inadvertently offering a security. </w:t>
      </w:r>
    </w:p>
    <w:p w:rsidR="00154AA3" w:rsidRPr="00154AA3" w:rsidRDefault="00154AA3" w:rsidP="00154AA3">
      <w:pPr>
        <w:pStyle w:val="Default"/>
        <w:spacing w:line="276" w:lineRule="auto"/>
        <w:rPr>
          <w:rFonts w:asciiTheme="minorHAnsi" w:hAnsiTheme="minorHAnsi" w:cstheme="minorBidi"/>
          <w:color w:val="auto"/>
          <w:sz w:val="22"/>
          <w:szCs w:val="22"/>
        </w:rPr>
      </w:pPr>
      <w:r w:rsidRPr="00154AA3">
        <w:rPr>
          <w:rFonts w:asciiTheme="minorHAnsi" w:hAnsiTheme="minorHAnsi" w:cstheme="minorBidi"/>
          <w:b/>
          <w:bCs/>
          <w:color w:val="auto"/>
          <w:sz w:val="22"/>
          <w:szCs w:val="22"/>
        </w:rPr>
        <w:t>Flip Structure:</w:t>
      </w:r>
      <w:r w:rsidRPr="00154AA3">
        <w:rPr>
          <w:rFonts w:asciiTheme="minorHAnsi" w:hAnsiTheme="minorHAnsi" w:cstheme="minorBidi"/>
          <w:color w:val="auto"/>
          <w:sz w:val="22"/>
          <w:szCs w:val="22"/>
        </w:rPr>
        <w:t xml:space="preserve"> In this scenario, the community S</w:t>
      </w:r>
      <w:r w:rsidR="003421C0">
        <w:rPr>
          <w:rFonts w:asciiTheme="minorHAnsi" w:hAnsiTheme="minorHAnsi" w:cstheme="minorBidi"/>
          <w:color w:val="auto"/>
          <w:sz w:val="22"/>
          <w:szCs w:val="22"/>
        </w:rPr>
        <w:t xml:space="preserve">pecial </w:t>
      </w:r>
      <w:r w:rsidRPr="00154AA3">
        <w:rPr>
          <w:rFonts w:asciiTheme="minorHAnsi" w:hAnsiTheme="minorHAnsi" w:cstheme="minorBidi"/>
          <w:color w:val="auto"/>
          <w:sz w:val="22"/>
          <w:szCs w:val="22"/>
        </w:rPr>
        <w:t>P</w:t>
      </w:r>
      <w:r w:rsidR="003421C0">
        <w:rPr>
          <w:rFonts w:asciiTheme="minorHAnsi" w:hAnsiTheme="minorHAnsi" w:cstheme="minorBidi"/>
          <w:color w:val="auto"/>
          <w:sz w:val="22"/>
          <w:szCs w:val="22"/>
        </w:rPr>
        <w:t xml:space="preserve">urpose </w:t>
      </w:r>
      <w:r w:rsidRPr="00154AA3">
        <w:rPr>
          <w:rFonts w:asciiTheme="minorHAnsi" w:hAnsiTheme="minorHAnsi" w:cstheme="minorBidi"/>
          <w:color w:val="auto"/>
          <w:sz w:val="22"/>
          <w:szCs w:val="22"/>
        </w:rPr>
        <w:t>E</w:t>
      </w:r>
      <w:r w:rsidR="003421C0">
        <w:rPr>
          <w:rFonts w:asciiTheme="minorHAnsi" w:hAnsiTheme="minorHAnsi" w:cstheme="minorBidi"/>
          <w:color w:val="auto"/>
          <w:sz w:val="22"/>
          <w:szCs w:val="22"/>
        </w:rPr>
        <w:t>ntity (SPE)</w:t>
      </w:r>
      <w:r w:rsidRPr="00154AA3">
        <w:rPr>
          <w:rFonts w:asciiTheme="minorHAnsi" w:hAnsiTheme="minorHAnsi" w:cstheme="minorBidi"/>
          <w:color w:val="auto"/>
          <w:sz w:val="22"/>
          <w:szCs w:val="22"/>
        </w:rPr>
        <w:t xml:space="preserve"> partners with a tax-motivated investor in a new special purpose entity that owns and operates the project. Initially, most of the equity comes from the tax investor and most of the benefit (as much as 99%) would flow to the tax investor. When the tax investor has fully monetized the tax benefits and achieved an agreed-upon rate of return, the allocation of benefits and majority ownership (95%) would “flip” to the community SPE </w:t>
      </w:r>
      <w:r w:rsidRPr="003421C0">
        <w:rPr>
          <w:rFonts w:asciiTheme="minorHAnsi" w:hAnsiTheme="minorHAnsi" w:cstheme="minorBidi"/>
          <w:color w:val="auto"/>
          <w:sz w:val="22"/>
          <w:szCs w:val="22"/>
          <w:u w:val="single"/>
        </w:rPr>
        <w:t>(but not within the first five years)</w:t>
      </w:r>
      <w:r w:rsidRPr="00154AA3">
        <w:rPr>
          <w:rFonts w:asciiTheme="minorHAnsi" w:hAnsiTheme="minorHAnsi" w:cstheme="minorBidi"/>
          <w:color w:val="auto"/>
          <w:sz w:val="22"/>
          <w:szCs w:val="22"/>
        </w:rPr>
        <w:t xml:space="preserve">. After the flip, the community SPE has the option to buy out all or most of the tax investor’s interest in the project at the fair market value of the tax investor’s remaining interest. </w:t>
      </w:r>
    </w:p>
    <w:sectPr w:rsidR="00154AA3" w:rsidRPr="00154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73"/>
    <w:rsid w:val="00154AA3"/>
    <w:rsid w:val="0028514E"/>
    <w:rsid w:val="003421C0"/>
    <w:rsid w:val="00437823"/>
    <w:rsid w:val="0076236E"/>
    <w:rsid w:val="00827563"/>
    <w:rsid w:val="00991616"/>
    <w:rsid w:val="00B13D73"/>
    <w:rsid w:val="00B85B3B"/>
    <w:rsid w:val="00D4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62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5B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D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623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236E"/>
    <w:rPr>
      <w:strike w:val="0"/>
      <w:dstrike w:val="0"/>
      <w:color w:val="0077BB"/>
      <w:u w:val="none"/>
      <w:effect w:val="none"/>
    </w:rPr>
  </w:style>
  <w:style w:type="paragraph" w:styleId="NormalWeb">
    <w:name w:val="Normal (Web)"/>
    <w:basedOn w:val="Normal"/>
    <w:uiPriority w:val="99"/>
    <w:unhideWhenUsed/>
    <w:rsid w:val="0076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236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85B3B"/>
    <w:rPr>
      <w:b/>
      <w:bCs/>
      <w:i w:val="0"/>
      <w:iCs w:val="0"/>
    </w:rPr>
  </w:style>
  <w:style w:type="character" w:customStyle="1" w:styleId="Heading3Char">
    <w:name w:val="Heading 3 Char"/>
    <w:basedOn w:val="DefaultParagraphFont"/>
    <w:link w:val="Heading3"/>
    <w:uiPriority w:val="9"/>
    <w:semiHidden/>
    <w:rsid w:val="00B85B3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62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5B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D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623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236E"/>
    <w:rPr>
      <w:strike w:val="0"/>
      <w:dstrike w:val="0"/>
      <w:color w:val="0077BB"/>
      <w:u w:val="none"/>
      <w:effect w:val="none"/>
    </w:rPr>
  </w:style>
  <w:style w:type="paragraph" w:styleId="NormalWeb">
    <w:name w:val="Normal (Web)"/>
    <w:basedOn w:val="Normal"/>
    <w:uiPriority w:val="99"/>
    <w:unhideWhenUsed/>
    <w:rsid w:val="0076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236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85B3B"/>
    <w:rPr>
      <w:b/>
      <w:bCs/>
      <w:i w:val="0"/>
      <w:iCs w:val="0"/>
    </w:rPr>
  </w:style>
  <w:style w:type="character" w:customStyle="1" w:styleId="Heading3Char">
    <w:name w:val="Heading 3 Char"/>
    <w:basedOn w:val="DefaultParagraphFont"/>
    <w:link w:val="Heading3"/>
    <w:uiPriority w:val="9"/>
    <w:semiHidden/>
    <w:rsid w:val="00B85B3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7373">
      <w:bodyDiv w:val="1"/>
      <w:marLeft w:val="0"/>
      <w:marRight w:val="0"/>
      <w:marTop w:val="0"/>
      <w:marBottom w:val="0"/>
      <w:divBdr>
        <w:top w:val="none" w:sz="0" w:space="0" w:color="auto"/>
        <w:left w:val="none" w:sz="0" w:space="0" w:color="auto"/>
        <w:bottom w:val="none" w:sz="0" w:space="0" w:color="auto"/>
        <w:right w:val="none" w:sz="0" w:space="0" w:color="auto"/>
      </w:divBdr>
      <w:divsChild>
        <w:div w:id="986318512">
          <w:marLeft w:val="0"/>
          <w:marRight w:val="0"/>
          <w:marTop w:val="0"/>
          <w:marBottom w:val="0"/>
          <w:divBdr>
            <w:top w:val="none" w:sz="0" w:space="0" w:color="auto"/>
            <w:left w:val="none" w:sz="0" w:space="0" w:color="auto"/>
            <w:bottom w:val="none" w:sz="0" w:space="0" w:color="auto"/>
            <w:right w:val="none" w:sz="0" w:space="0" w:color="auto"/>
          </w:divBdr>
          <w:divsChild>
            <w:div w:id="1626085903">
              <w:marLeft w:val="0"/>
              <w:marRight w:val="0"/>
              <w:marTop w:val="105"/>
              <w:marBottom w:val="0"/>
              <w:divBdr>
                <w:top w:val="none" w:sz="0" w:space="0" w:color="auto"/>
                <w:left w:val="none" w:sz="0" w:space="0" w:color="auto"/>
                <w:bottom w:val="none" w:sz="0" w:space="0" w:color="auto"/>
                <w:right w:val="none" w:sz="0" w:space="0" w:color="auto"/>
              </w:divBdr>
              <w:divsChild>
                <w:div w:id="938947794">
                  <w:marLeft w:val="0"/>
                  <w:marRight w:val="0"/>
                  <w:marTop w:val="0"/>
                  <w:marBottom w:val="0"/>
                  <w:divBdr>
                    <w:top w:val="none" w:sz="0" w:space="0" w:color="auto"/>
                    <w:left w:val="none" w:sz="0" w:space="0" w:color="auto"/>
                    <w:bottom w:val="none" w:sz="0" w:space="0" w:color="auto"/>
                    <w:right w:val="none" w:sz="0" w:space="0" w:color="auto"/>
                  </w:divBdr>
                  <w:divsChild>
                    <w:div w:id="1858732427">
                      <w:marLeft w:val="21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567961287">
      <w:bodyDiv w:val="1"/>
      <w:marLeft w:val="0"/>
      <w:marRight w:val="0"/>
      <w:marTop w:val="0"/>
      <w:marBottom w:val="0"/>
      <w:divBdr>
        <w:top w:val="none" w:sz="0" w:space="0" w:color="auto"/>
        <w:left w:val="none" w:sz="0" w:space="0" w:color="auto"/>
        <w:bottom w:val="none" w:sz="0" w:space="0" w:color="auto"/>
        <w:right w:val="none" w:sz="0" w:space="0" w:color="auto"/>
      </w:divBdr>
      <w:divsChild>
        <w:div w:id="473259986">
          <w:marLeft w:val="0"/>
          <w:marRight w:val="0"/>
          <w:marTop w:val="0"/>
          <w:marBottom w:val="0"/>
          <w:divBdr>
            <w:top w:val="none" w:sz="0" w:space="0" w:color="auto"/>
            <w:left w:val="none" w:sz="0" w:space="0" w:color="auto"/>
            <w:bottom w:val="none" w:sz="0" w:space="0" w:color="auto"/>
            <w:right w:val="none" w:sz="0" w:space="0" w:color="auto"/>
          </w:divBdr>
          <w:divsChild>
            <w:div w:id="283392535">
              <w:marLeft w:val="0"/>
              <w:marRight w:val="0"/>
              <w:marTop w:val="105"/>
              <w:marBottom w:val="0"/>
              <w:divBdr>
                <w:top w:val="none" w:sz="0" w:space="0" w:color="auto"/>
                <w:left w:val="none" w:sz="0" w:space="0" w:color="auto"/>
                <w:bottom w:val="none" w:sz="0" w:space="0" w:color="auto"/>
                <w:right w:val="none" w:sz="0" w:space="0" w:color="auto"/>
              </w:divBdr>
              <w:divsChild>
                <w:div w:id="1646810876">
                  <w:marLeft w:val="0"/>
                  <w:marRight w:val="0"/>
                  <w:marTop w:val="0"/>
                  <w:marBottom w:val="0"/>
                  <w:divBdr>
                    <w:top w:val="none" w:sz="0" w:space="0" w:color="auto"/>
                    <w:left w:val="none" w:sz="0" w:space="0" w:color="auto"/>
                    <w:bottom w:val="none" w:sz="0" w:space="0" w:color="auto"/>
                    <w:right w:val="none" w:sz="0" w:space="0" w:color="auto"/>
                  </w:divBdr>
                  <w:divsChild>
                    <w:div w:id="277031568">
                      <w:marLeft w:val="21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021663959">
      <w:bodyDiv w:val="1"/>
      <w:marLeft w:val="0"/>
      <w:marRight w:val="0"/>
      <w:marTop w:val="0"/>
      <w:marBottom w:val="0"/>
      <w:divBdr>
        <w:top w:val="none" w:sz="0" w:space="0" w:color="auto"/>
        <w:left w:val="none" w:sz="0" w:space="0" w:color="auto"/>
        <w:bottom w:val="none" w:sz="0" w:space="0" w:color="auto"/>
        <w:right w:val="none" w:sz="0" w:space="0" w:color="auto"/>
      </w:divBdr>
      <w:divsChild>
        <w:div w:id="56511745">
          <w:marLeft w:val="0"/>
          <w:marRight w:val="0"/>
          <w:marTop w:val="0"/>
          <w:marBottom w:val="0"/>
          <w:divBdr>
            <w:top w:val="none" w:sz="0" w:space="0" w:color="auto"/>
            <w:left w:val="none" w:sz="0" w:space="0" w:color="auto"/>
            <w:bottom w:val="none" w:sz="0" w:space="0" w:color="auto"/>
            <w:right w:val="none" w:sz="0" w:space="0" w:color="auto"/>
          </w:divBdr>
          <w:divsChild>
            <w:div w:id="382557527">
              <w:marLeft w:val="0"/>
              <w:marRight w:val="0"/>
              <w:marTop w:val="105"/>
              <w:marBottom w:val="0"/>
              <w:divBdr>
                <w:top w:val="none" w:sz="0" w:space="0" w:color="auto"/>
                <w:left w:val="none" w:sz="0" w:space="0" w:color="auto"/>
                <w:bottom w:val="none" w:sz="0" w:space="0" w:color="auto"/>
                <w:right w:val="none" w:sz="0" w:space="0" w:color="auto"/>
              </w:divBdr>
              <w:divsChild>
                <w:div w:id="232668241">
                  <w:marLeft w:val="0"/>
                  <w:marRight w:val="0"/>
                  <w:marTop w:val="0"/>
                  <w:marBottom w:val="0"/>
                  <w:divBdr>
                    <w:top w:val="none" w:sz="0" w:space="0" w:color="auto"/>
                    <w:left w:val="none" w:sz="0" w:space="0" w:color="auto"/>
                    <w:bottom w:val="none" w:sz="0" w:space="0" w:color="auto"/>
                    <w:right w:val="none" w:sz="0" w:space="0" w:color="auto"/>
                  </w:divBdr>
                  <w:divsChild>
                    <w:div w:id="752094623">
                      <w:marLeft w:val="21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205562980">
      <w:bodyDiv w:val="1"/>
      <w:marLeft w:val="0"/>
      <w:marRight w:val="0"/>
      <w:marTop w:val="0"/>
      <w:marBottom w:val="0"/>
      <w:divBdr>
        <w:top w:val="none" w:sz="0" w:space="0" w:color="auto"/>
        <w:left w:val="none" w:sz="0" w:space="0" w:color="auto"/>
        <w:bottom w:val="none" w:sz="0" w:space="0" w:color="auto"/>
        <w:right w:val="none" w:sz="0" w:space="0" w:color="auto"/>
      </w:divBdr>
      <w:divsChild>
        <w:div w:id="163673121">
          <w:marLeft w:val="0"/>
          <w:marRight w:val="0"/>
          <w:marTop w:val="0"/>
          <w:marBottom w:val="0"/>
          <w:divBdr>
            <w:top w:val="none" w:sz="0" w:space="0" w:color="auto"/>
            <w:left w:val="none" w:sz="0" w:space="0" w:color="auto"/>
            <w:bottom w:val="none" w:sz="0" w:space="0" w:color="auto"/>
            <w:right w:val="none" w:sz="0" w:space="0" w:color="auto"/>
          </w:divBdr>
          <w:divsChild>
            <w:div w:id="1762408796">
              <w:marLeft w:val="0"/>
              <w:marRight w:val="0"/>
              <w:marTop w:val="0"/>
              <w:marBottom w:val="0"/>
              <w:divBdr>
                <w:top w:val="none" w:sz="0" w:space="0" w:color="auto"/>
                <w:left w:val="none" w:sz="0" w:space="0" w:color="auto"/>
                <w:bottom w:val="none" w:sz="0" w:space="0" w:color="auto"/>
                <w:right w:val="none" w:sz="0" w:space="0" w:color="auto"/>
              </w:divBdr>
              <w:divsChild>
                <w:div w:id="1598708872">
                  <w:marLeft w:val="0"/>
                  <w:marRight w:val="0"/>
                  <w:marTop w:val="0"/>
                  <w:marBottom w:val="0"/>
                  <w:divBdr>
                    <w:top w:val="none" w:sz="0" w:space="0" w:color="auto"/>
                    <w:left w:val="none" w:sz="0" w:space="0" w:color="auto"/>
                    <w:bottom w:val="none" w:sz="0" w:space="0" w:color="auto"/>
                    <w:right w:val="none" w:sz="0" w:space="0" w:color="auto"/>
                  </w:divBdr>
                  <w:divsChild>
                    <w:div w:id="16943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4624">
      <w:bodyDiv w:val="1"/>
      <w:marLeft w:val="0"/>
      <w:marRight w:val="0"/>
      <w:marTop w:val="0"/>
      <w:marBottom w:val="0"/>
      <w:divBdr>
        <w:top w:val="none" w:sz="0" w:space="0" w:color="auto"/>
        <w:left w:val="none" w:sz="0" w:space="0" w:color="auto"/>
        <w:bottom w:val="none" w:sz="0" w:space="0" w:color="auto"/>
        <w:right w:val="none" w:sz="0" w:space="0" w:color="auto"/>
      </w:divBdr>
      <w:divsChild>
        <w:div w:id="805009508">
          <w:marLeft w:val="0"/>
          <w:marRight w:val="0"/>
          <w:marTop w:val="0"/>
          <w:marBottom w:val="0"/>
          <w:divBdr>
            <w:top w:val="none" w:sz="0" w:space="0" w:color="auto"/>
            <w:left w:val="none" w:sz="0" w:space="0" w:color="auto"/>
            <w:bottom w:val="none" w:sz="0" w:space="0" w:color="auto"/>
            <w:right w:val="none" w:sz="0" w:space="0" w:color="auto"/>
          </w:divBdr>
          <w:divsChild>
            <w:div w:id="1529366334">
              <w:marLeft w:val="0"/>
              <w:marRight w:val="0"/>
              <w:marTop w:val="105"/>
              <w:marBottom w:val="0"/>
              <w:divBdr>
                <w:top w:val="none" w:sz="0" w:space="0" w:color="auto"/>
                <w:left w:val="none" w:sz="0" w:space="0" w:color="auto"/>
                <w:bottom w:val="none" w:sz="0" w:space="0" w:color="auto"/>
                <w:right w:val="none" w:sz="0" w:space="0" w:color="auto"/>
              </w:divBdr>
              <w:divsChild>
                <w:div w:id="1885824917">
                  <w:marLeft w:val="0"/>
                  <w:marRight w:val="0"/>
                  <w:marTop w:val="0"/>
                  <w:marBottom w:val="0"/>
                  <w:divBdr>
                    <w:top w:val="none" w:sz="0" w:space="0" w:color="auto"/>
                    <w:left w:val="none" w:sz="0" w:space="0" w:color="auto"/>
                    <w:bottom w:val="none" w:sz="0" w:space="0" w:color="auto"/>
                    <w:right w:val="none" w:sz="0" w:space="0" w:color="auto"/>
                  </w:divBdr>
                  <w:divsChild>
                    <w:div w:id="977880762">
                      <w:marLeft w:val="21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564831061">
      <w:bodyDiv w:val="1"/>
      <w:marLeft w:val="0"/>
      <w:marRight w:val="0"/>
      <w:marTop w:val="0"/>
      <w:marBottom w:val="0"/>
      <w:divBdr>
        <w:top w:val="none" w:sz="0" w:space="0" w:color="auto"/>
        <w:left w:val="none" w:sz="0" w:space="0" w:color="auto"/>
        <w:bottom w:val="none" w:sz="0" w:space="0" w:color="auto"/>
        <w:right w:val="none" w:sz="0" w:space="0" w:color="auto"/>
      </w:divBdr>
      <w:divsChild>
        <w:div w:id="365176460">
          <w:marLeft w:val="0"/>
          <w:marRight w:val="0"/>
          <w:marTop w:val="0"/>
          <w:marBottom w:val="0"/>
          <w:divBdr>
            <w:top w:val="none" w:sz="0" w:space="0" w:color="auto"/>
            <w:left w:val="none" w:sz="0" w:space="0" w:color="auto"/>
            <w:bottom w:val="none" w:sz="0" w:space="0" w:color="auto"/>
            <w:right w:val="none" w:sz="0" w:space="0" w:color="auto"/>
          </w:divBdr>
          <w:divsChild>
            <w:div w:id="1096287880">
              <w:marLeft w:val="0"/>
              <w:marRight w:val="0"/>
              <w:marTop w:val="0"/>
              <w:marBottom w:val="0"/>
              <w:divBdr>
                <w:top w:val="none" w:sz="0" w:space="0" w:color="auto"/>
                <w:left w:val="none" w:sz="0" w:space="0" w:color="auto"/>
                <w:bottom w:val="none" w:sz="0" w:space="0" w:color="auto"/>
                <w:right w:val="none" w:sz="0" w:space="0" w:color="auto"/>
              </w:divBdr>
              <w:divsChild>
                <w:div w:id="936794293">
                  <w:marLeft w:val="0"/>
                  <w:marRight w:val="0"/>
                  <w:marTop w:val="0"/>
                  <w:marBottom w:val="0"/>
                  <w:divBdr>
                    <w:top w:val="none" w:sz="0" w:space="0" w:color="auto"/>
                    <w:left w:val="none" w:sz="0" w:space="0" w:color="auto"/>
                    <w:bottom w:val="none" w:sz="0" w:space="0" w:color="auto"/>
                    <w:right w:val="none" w:sz="0" w:space="0" w:color="auto"/>
                  </w:divBdr>
                  <w:divsChild>
                    <w:div w:id="11492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2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5047">
          <w:marLeft w:val="0"/>
          <w:marRight w:val="0"/>
          <w:marTop w:val="0"/>
          <w:marBottom w:val="0"/>
          <w:divBdr>
            <w:top w:val="none" w:sz="0" w:space="0" w:color="auto"/>
            <w:left w:val="none" w:sz="0" w:space="0" w:color="auto"/>
            <w:bottom w:val="none" w:sz="0" w:space="0" w:color="auto"/>
            <w:right w:val="none" w:sz="0" w:space="0" w:color="auto"/>
          </w:divBdr>
          <w:divsChild>
            <w:div w:id="645476343">
              <w:marLeft w:val="0"/>
              <w:marRight w:val="0"/>
              <w:marTop w:val="105"/>
              <w:marBottom w:val="0"/>
              <w:divBdr>
                <w:top w:val="none" w:sz="0" w:space="0" w:color="auto"/>
                <w:left w:val="none" w:sz="0" w:space="0" w:color="auto"/>
                <w:bottom w:val="none" w:sz="0" w:space="0" w:color="auto"/>
                <w:right w:val="none" w:sz="0" w:space="0" w:color="auto"/>
              </w:divBdr>
              <w:divsChild>
                <w:div w:id="297298782">
                  <w:marLeft w:val="0"/>
                  <w:marRight w:val="0"/>
                  <w:marTop w:val="0"/>
                  <w:marBottom w:val="0"/>
                  <w:divBdr>
                    <w:top w:val="none" w:sz="0" w:space="0" w:color="auto"/>
                    <w:left w:val="none" w:sz="0" w:space="0" w:color="auto"/>
                    <w:bottom w:val="none" w:sz="0" w:space="0" w:color="auto"/>
                    <w:right w:val="none" w:sz="0" w:space="0" w:color="auto"/>
                  </w:divBdr>
                  <w:divsChild>
                    <w:div w:id="660281116">
                      <w:marLeft w:val="21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18447455">
      <w:bodyDiv w:val="1"/>
      <w:marLeft w:val="0"/>
      <w:marRight w:val="0"/>
      <w:marTop w:val="0"/>
      <w:marBottom w:val="0"/>
      <w:divBdr>
        <w:top w:val="none" w:sz="0" w:space="0" w:color="auto"/>
        <w:left w:val="none" w:sz="0" w:space="0" w:color="auto"/>
        <w:bottom w:val="none" w:sz="0" w:space="0" w:color="auto"/>
        <w:right w:val="none" w:sz="0" w:space="0" w:color="auto"/>
      </w:divBdr>
      <w:divsChild>
        <w:div w:id="1091438368">
          <w:marLeft w:val="0"/>
          <w:marRight w:val="0"/>
          <w:marTop w:val="0"/>
          <w:marBottom w:val="0"/>
          <w:divBdr>
            <w:top w:val="none" w:sz="0" w:space="0" w:color="auto"/>
            <w:left w:val="none" w:sz="0" w:space="0" w:color="auto"/>
            <w:bottom w:val="none" w:sz="0" w:space="0" w:color="auto"/>
            <w:right w:val="none" w:sz="0" w:space="0" w:color="auto"/>
          </w:divBdr>
          <w:divsChild>
            <w:div w:id="778256727">
              <w:marLeft w:val="0"/>
              <w:marRight w:val="0"/>
              <w:marTop w:val="0"/>
              <w:marBottom w:val="0"/>
              <w:divBdr>
                <w:top w:val="none" w:sz="0" w:space="0" w:color="auto"/>
                <w:left w:val="none" w:sz="0" w:space="0" w:color="auto"/>
                <w:bottom w:val="none" w:sz="0" w:space="0" w:color="auto"/>
                <w:right w:val="none" w:sz="0" w:space="0" w:color="auto"/>
              </w:divBdr>
              <w:divsChild>
                <w:div w:id="1639649756">
                  <w:marLeft w:val="0"/>
                  <w:marRight w:val="0"/>
                  <w:marTop w:val="0"/>
                  <w:marBottom w:val="0"/>
                  <w:divBdr>
                    <w:top w:val="none" w:sz="0" w:space="0" w:color="auto"/>
                    <w:left w:val="none" w:sz="0" w:space="0" w:color="auto"/>
                    <w:bottom w:val="none" w:sz="0" w:space="0" w:color="auto"/>
                    <w:right w:val="none" w:sz="0" w:space="0" w:color="auto"/>
                  </w:divBdr>
                  <w:divsChild>
                    <w:div w:id="405500188">
                      <w:marLeft w:val="0"/>
                      <w:marRight w:val="0"/>
                      <w:marTop w:val="0"/>
                      <w:marBottom w:val="0"/>
                      <w:divBdr>
                        <w:top w:val="none" w:sz="0" w:space="0" w:color="auto"/>
                        <w:left w:val="none" w:sz="0" w:space="0" w:color="auto"/>
                        <w:bottom w:val="none" w:sz="0" w:space="0" w:color="auto"/>
                        <w:right w:val="none" w:sz="0" w:space="0" w:color="auto"/>
                      </w:divBdr>
                      <w:divsChild>
                        <w:div w:id="17961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1853</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NRUCFC</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Beamon</dc:creator>
  <cp:lastModifiedBy>Tom Beamon</cp:lastModifiedBy>
  <cp:revision>4</cp:revision>
  <cp:lastPrinted>2014-07-10T09:15:00Z</cp:lastPrinted>
  <dcterms:created xsi:type="dcterms:W3CDTF">2014-07-09T09:13:00Z</dcterms:created>
  <dcterms:modified xsi:type="dcterms:W3CDTF">2014-07-10T16:06:00Z</dcterms:modified>
</cp:coreProperties>
</file>