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86644B" w:rsidRDefault="002612B7">
      <w:pPr>
        <w:tabs>
          <w:tab w:val="left" w:pos="-1440"/>
        </w:tabs>
        <w:ind w:left="1440" w:hanging="1440"/>
        <w:jc w:val="both"/>
        <w:rPr>
          <w:sz w:val="28"/>
          <w:szCs w:val="28"/>
        </w:rPr>
      </w:pPr>
      <w:r>
        <w:rPr>
          <w:sz w:val="28"/>
          <w:szCs w:val="28"/>
        </w:rPr>
        <w:t>December 28, 2016</w:t>
      </w:r>
    </w:p>
    <w:p w:rsidR="002612B7" w:rsidRDefault="002612B7">
      <w:pPr>
        <w:tabs>
          <w:tab w:val="left" w:pos="-1440"/>
        </w:tabs>
        <w:ind w:left="1440" w:hanging="1440"/>
        <w:jc w:val="both"/>
        <w:rPr>
          <w:sz w:val="28"/>
          <w:szCs w:val="28"/>
        </w:rPr>
      </w:pPr>
    </w:p>
    <w:p w:rsidR="008C15B8" w:rsidRDefault="00286B76">
      <w:pPr>
        <w:tabs>
          <w:tab w:val="left" w:pos="-1440"/>
        </w:tabs>
        <w:ind w:left="1440" w:hanging="1440"/>
        <w:jc w:val="both"/>
        <w:rPr>
          <w:sz w:val="28"/>
          <w:szCs w:val="28"/>
        </w:rPr>
      </w:pPr>
      <w:r>
        <w:rPr>
          <w:sz w:val="28"/>
          <w:szCs w:val="28"/>
        </w:rPr>
        <w:t>TO:</w:t>
      </w:r>
      <w:r>
        <w:rPr>
          <w:sz w:val="28"/>
          <w:szCs w:val="28"/>
        </w:rPr>
        <w:tab/>
      </w:r>
      <w:r w:rsidR="008C15B8">
        <w:rPr>
          <w:sz w:val="28"/>
          <w:szCs w:val="28"/>
        </w:rPr>
        <w:t>General Managers</w:t>
      </w:r>
      <w:r w:rsidR="002612B7">
        <w:rPr>
          <w:sz w:val="28"/>
          <w:szCs w:val="28"/>
        </w:rPr>
        <w:t>, Finance Directors</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FROM:</w:t>
      </w:r>
      <w:r>
        <w:rPr>
          <w:sz w:val="28"/>
          <w:szCs w:val="28"/>
        </w:rPr>
        <w:tab/>
        <w:t>Michelle Hershel</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SUBJECT:</w:t>
      </w:r>
      <w:r>
        <w:rPr>
          <w:sz w:val="28"/>
          <w:szCs w:val="28"/>
        </w:rPr>
        <w:tab/>
        <w:t>Reminder- Reports Due to the PSC</w:t>
      </w:r>
    </w:p>
    <w:p w:rsidR="008C15B8" w:rsidRDefault="008C15B8">
      <w:pPr>
        <w:jc w:val="both"/>
        <w:rPr>
          <w:sz w:val="28"/>
          <w:szCs w:val="28"/>
        </w:rPr>
      </w:pPr>
    </w:p>
    <w:p w:rsidR="008C15B8" w:rsidRDefault="0086644B">
      <w:pPr>
        <w:ind w:firstLine="720"/>
        <w:jc w:val="both"/>
        <w:rPr>
          <w:sz w:val="28"/>
          <w:szCs w:val="28"/>
        </w:rPr>
      </w:pPr>
      <w:r>
        <w:rPr>
          <w:sz w:val="28"/>
          <w:szCs w:val="28"/>
        </w:rPr>
        <w:t xml:space="preserve">As the </w:t>
      </w:r>
      <w:proofErr w:type="gramStart"/>
      <w:r>
        <w:rPr>
          <w:sz w:val="28"/>
          <w:szCs w:val="28"/>
        </w:rPr>
        <w:t xml:space="preserve">new </w:t>
      </w:r>
      <w:r w:rsidR="008C15B8">
        <w:rPr>
          <w:sz w:val="28"/>
          <w:szCs w:val="28"/>
        </w:rPr>
        <w:t>year</w:t>
      </w:r>
      <w:proofErr w:type="gramEnd"/>
      <w:r w:rsidR="008C15B8">
        <w:rPr>
          <w:sz w:val="28"/>
          <w:szCs w:val="28"/>
        </w:rPr>
        <w:t xml:space="preserve"> begins we would like to remind you of the rules and laws which require you to file certain reports with the PSC</w:t>
      </w:r>
      <w:r>
        <w:rPr>
          <w:sz w:val="28"/>
          <w:szCs w:val="28"/>
        </w:rPr>
        <w:t xml:space="preserve"> annually</w:t>
      </w:r>
      <w:r w:rsidR="008C15B8">
        <w:rPr>
          <w:sz w:val="28"/>
          <w:szCs w:val="28"/>
        </w:rPr>
        <w:t xml:space="preserve">.  Below is a list and description of the reports and the required filing dates. </w:t>
      </w:r>
    </w:p>
    <w:p w:rsidR="008C15B8" w:rsidRDefault="008C15B8">
      <w:pPr>
        <w:jc w:val="both"/>
        <w:rPr>
          <w:sz w:val="28"/>
          <w:szCs w:val="28"/>
        </w:rPr>
      </w:pPr>
    </w:p>
    <w:p w:rsidR="008C15B8" w:rsidRDefault="008C15B8">
      <w:pPr>
        <w:jc w:val="both"/>
        <w:rPr>
          <w:sz w:val="28"/>
          <w:szCs w:val="28"/>
        </w:rPr>
      </w:pPr>
      <w:r>
        <w:rPr>
          <w:b/>
          <w:bCs/>
          <w:sz w:val="28"/>
          <w:szCs w:val="28"/>
          <w:u w:val="single"/>
        </w:rPr>
        <w:t>By March 1:</w:t>
      </w:r>
    </w:p>
    <w:p w:rsidR="008C15B8" w:rsidRDefault="008C15B8">
      <w:pPr>
        <w:jc w:val="both"/>
        <w:rPr>
          <w:sz w:val="28"/>
          <w:szCs w:val="28"/>
        </w:rPr>
      </w:pPr>
    </w:p>
    <w:p w:rsidR="008C15B8" w:rsidRDefault="008C15B8">
      <w:pPr>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sidRPr="00EF1DC2">
        <w:rPr>
          <w:b/>
          <w:sz w:val="28"/>
          <w:szCs w:val="28"/>
        </w:rPr>
        <w:t>.</w:t>
      </w:r>
      <w:r w:rsidR="00EF1DC2" w:rsidRPr="00EF1DC2">
        <w:rPr>
          <w:b/>
          <w:sz w:val="28"/>
          <w:szCs w:val="28"/>
        </w:rPr>
        <w:t xml:space="preserve">  </w:t>
      </w:r>
    </w:p>
    <w:p w:rsidR="002612B7" w:rsidRDefault="002612B7">
      <w:pPr>
        <w:jc w:val="both"/>
        <w:rPr>
          <w:sz w:val="28"/>
          <w:szCs w:val="28"/>
        </w:rPr>
      </w:pPr>
      <w:bookmarkStart w:id="0" w:name="_GoBack"/>
      <w:bookmarkEnd w:id="0"/>
    </w:p>
    <w:p w:rsidR="008C15B8" w:rsidRDefault="008C15B8">
      <w:pPr>
        <w:jc w:val="both"/>
        <w:rPr>
          <w:sz w:val="28"/>
          <w:szCs w:val="28"/>
        </w:rPr>
      </w:pPr>
      <w:r>
        <w:rPr>
          <w:b/>
          <w:bCs/>
          <w:sz w:val="28"/>
          <w:szCs w:val="28"/>
          <w:u w:val="single"/>
        </w:rPr>
        <w:t>By April 1:</w:t>
      </w:r>
    </w:p>
    <w:p w:rsidR="008C15B8" w:rsidRDefault="008C15B8">
      <w:pPr>
        <w:jc w:val="both"/>
        <w:rPr>
          <w:sz w:val="28"/>
          <w:szCs w:val="28"/>
        </w:rPr>
      </w:pPr>
    </w:p>
    <w:p w:rsidR="00EF1DC2" w:rsidRPr="00EF1DC2" w:rsidRDefault="00471E1C" w:rsidP="00EF1DC2">
      <w:pPr>
        <w:rPr>
          <w:b/>
          <w:sz w:val="28"/>
          <w:szCs w:val="28"/>
        </w:rPr>
      </w:pPr>
      <w:r>
        <w:rPr>
          <w:sz w:val="28"/>
          <w:szCs w:val="28"/>
          <w:u w:val="single"/>
        </w:rPr>
        <w:t xml:space="preserve">1. </w:t>
      </w:r>
      <w:r w:rsidR="008C15B8">
        <w:rPr>
          <w:sz w:val="28"/>
          <w:szCs w:val="28"/>
          <w:u w:val="single"/>
        </w:rPr>
        <w:t>Report on Net-metering/renewable interconnections</w:t>
      </w:r>
      <w:r w:rsidR="008C15B8">
        <w:rPr>
          <w:sz w:val="28"/>
          <w:szCs w:val="28"/>
        </w:rPr>
        <w:t>.  Under Rule 25-6.065(10), F.A.C. and Section 366.91(6), F.S. each distribution co-op must file a report to the Commission detailing customer participation in interconnection and net-metering pr</w:t>
      </w:r>
      <w:r>
        <w:rPr>
          <w:sz w:val="28"/>
          <w:szCs w:val="28"/>
        </w:rPr>
        <w:t xml:space="preserve">ograms.  Rule 25-6.065, F.A.C. </w:t>
      </w:r>
      <w:r w:rsidR="008C15B8">
        <w:rPr>
          <w:sz w:val="28"/>
          <w:szCs w:val="28"/>
        </w:rPr>
        <w:t>(attached) provides the details of this report.</w:t>
      </w:r>
      <w:r w:rsidR="00EF1DC2">
        <w:rPr>
          <w:sz w:val="28"/>
          <w:szCs w:val="28"/>
        </w:rPr>
        <w:t xml:space="preserve">  </w:t>
      </w:r>
      <w:r w:rsidR="00EF1DC2" w:rsidRPr="00EF1DC2">
        <w:rPr>
          <w:b/>
          <w:sz w:val="28"/>
          <w:szCs w:val="28"/>
        </w:rPr>
        <w:t>This year the Commission requests that you file the report online through the Commission Clerk’s Office.  This</w:t>
      </w:r>
      <w:r w:rsidR="00EF1DC2" w:rsidRPr="00EF1DC2">
        <w:rPr>
          <w:b/>
          <w:i/>
          <w:iCs/>
          <w:sz w:val="28"/>
          <w:szCs w:val="28"/>
        </w:rPr>
        <w:t xml:space="preserve"> e-</w:t>
      </w:r>
      <w:r w:rsidR="00EF1DC2" w:rsidRPr="00EF1DC2">
        <w:rPr>
          <w:b/>
          <w:sz w:val="28"/>
          <w:szCs w:val="28"/>
        </w:rPr>
        <w:t>filing method is available on the Commission’s website.  Please go to:</w:t>
      </w:r>
    </w:p>
    <w:p w:rsidR="00EF1DC2" w:rsidRPr="00EF1DC2" w:rsidRDefault="002612B7" w:rsidP="00EF1DC2">
      <w:pPr>
        <w:widowControl/>
        <w:numPr>
          <w:ilvl w:val="0"/>
          <w:numId w:val="4"/>
        </w:numPr>
        <w:autoSpaceDE/>
        <w:autoSpaceDN/>
        <w:adjustRightInd/>
        <w:rPr>
          <w:rFonts w:eastAsia="Times New Roman"/>
          <w:b/>
          <w:sz w:val="28"/>
          <w:szCs w:val="28"/>
        </w:rPr>
      </w:pPr>
      <w:hyperlink r:id="rId6" w:history="1">
        <w:r w:rsidR="00EF1DC2" w:rsidRPr="00EF1DC2">
          <w:rPr>
            <w:rStyle w:val="Hyperlink"/>
            <w:rFonts w:eastAsia="Times New Roman"/>
            <w:b/>
            <w:sz w:val="28"/>
            <w:szCs w:val="28"/>
          </w:rPr>
          <w:t>www.floridapsc.com</w:t>
        </w:r>
      </w:hyperlink>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“Clerk’s Office”</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Requirements”</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Form”</w:t>
      </w:r>
    </w:p>
    <w:p w:rsidR="008C15B8" w:rsidRDefault="008C15B8">
      <w:pPr>
        <w:jc w:val="both"/>
        <w:rPr>
          <w:sz w:val="28"/>
          <w:szCs w:val="28"/>
        </w:rPr>
      </w:pPr>
    </w:p>
    <w:p w:rsidR="008C15B8" w:rsidRDefault="008C15B8">
      <w:pPr>
        <w:jc w:val="both"/>
        <w:rPr>
          <w:sz w:val="28"/>
          <w:szCs w:val="28"/>
        </w:rPr>
      </w:pPr>
    </w:p>
    <w:p w:rsidR="008C15B8" w:rsidRDefault="008C15B8">
      <w:pPr>
        <w:jc w:val="both"/>
        <w:rPr>
          <w:b/>
          <w:bCs/>
          <w:sz w:val="28"/>
          <w:szCs w:val="28"/>
        </w:rPr>
      </w:pPr>
      <w:r>
        <w:rPr>
          <w:sz w:val="28"/>
          <w:szCs w:val="28"/>
          <w:u w:val="single"/>
        </w:rPr>
        <w:lastRenderedPageBreak/>
        <w:t>2.  Renewable energy and energy conservation standard</w:t>
      </w:r>
      <w:r>
        <w:rPr>
          <w:sz w:val="28"/>
          <w:szCs w:val="28"/>
        </w:rPr>
        <w:t xml:space="preserve">.  Each co-op must </w:t>
      </w:r>
      <w:proofErr w:type="gramStart"/>
      <w:r>
        <w:rPr>
          <w:sz w:val="28"/>
          <w:szCs w:val="28"/>
        </w:rPr>
        <w:t>develop  standards</w:t>
      </w:r>
      <w:proofErr w:type="gramEnd"/>
      <w:r>
        <w:rPr>
          <w:sz w:val="28"/>
          <w:szCs w:val="28"/>
        </w:rPr>
        <w:t xml:space="preserve"> for the promotion, encouragement, and expansion of the use of renewable energy resources and energy conservation and efficiency measures pursuant to Section 366.92(</w:t>
      </w:r>
      <w:r w:rsidR="00D40CD8">
        <w:rPr>
          <w:sz w:val="28"/>
          <w:szCs w:val="28"/>
        </w:rPr>
        <w:t>3</w:t>
      </w:r>
      <w:r>
        <w:rPr>
          <w:sz w:val="28"/>
          <w:szCs w:val="28"/>
        </w:rPr>
        <w:t>), F.S.  The report to the Commission must “identify” these standards but there are no details in the statute.</w:t>
      </w:r>
    </w:p>
    <w:p w:rsidR="008C15B8" w:rsidRDefault="008C15B8">
      <w:pPr>
        <w:jc w:val="both"/>
        <w:rPr>
          <w:b/>
          <w:bCs/>
          <w:sz w:val="28"/>
          <w:szCs w:val="28"/>
        </w:rPr>
        <w:sectPr w:rsidR="008C15B8">
          <w:pgSz w:w="12240" w:h="15840"/>
          <w:pgMar w:top="1440" w:right="1440" w:bottom="1440" w:left="1440" w:header="1440" w:footer="1440" w:gutter="0"/>
          <w:cols w:space="720"/>
          <w:noEndnote/>
        </w:sectPr>
      </w:pPr>
    </w:p>
    <w:p w:rsidR="008C15B8" w:rsidRDefault="008C15B8">
      <w:pPr>
        <w:jc w:val="both"/>
        <w:rPr>
          <w:sz w:val="28"/>
          <w:szCs w:val="28"/>
        </w:rPr>
      </w:pPr>
    </w:p>
    <w:p w:rsidR="008C15B8" w:rsidRDefault="009C1823">
      <w:pPr>
        <w:jc w:val="both"/>
        <w:rPr>
          <w:sz w:val="28"/>
          <w:szCs w:val="28"/>
        </w:rPr>
      </w:pPr>
      <w:r>
        <w:rPr>
          <w:sz w:val="28"/>
          <w:szCs w:val="28"/>
          <w:u w:val="single"/>
        </w:rPr>
        <w:t xml:space="preserve">3.  </w:t>
      </w:r>
      <w:r>
        <w:rPr>
          <w:b/>
          <w:bCs/>
          <w:sz w:val="28"/>
          <w:szCs w:val="28"/>
          <w:u w:val="single"/>
        </w:rPr>
        <w:t>Seminole only-</w:t>
      </w:r>
      <w:r>
        <w:rPr>
          <w:sz w:val="28"/>
          <w:szCs w:val="28"/>
          <w:u w:val="single"/>
        </w:rPr>
        <w:t xml:space="preserve"> </w:t>
      </w:r>
      <w:r w:rsidR="008C15B8">
        <w:rPr>
          <w:sz w:val="28"/>
          <w:szCs w:val="28"/>
          <w:u w:val="single"/>
        </w:rPr>
        <w:t>Report on renewable energy</w:t>
      </w:r>
      <w:r w:rsidR="008C15B8">
        <w:rPr>
          <w:sz w:val="28"/>
          <w:szCs w:val="28"/>
        </w:rPr>
        <w:t>. Pursuant to Rule 25-17.300, F.A.C. (attached) Seminole must report as part of their ten year site plan submittal: 1) the total MWs and percentage of its total capacity mix comprised of renewable generating capacity; 2) the total MWhs and percentage of its net energy for l</w:t>
      </w:r>
      <w:r w:rsidR="00286B76">
        <w:rPr>
          <w:sz w:val="28"/>
          <w:szCs w:val="28"/>
        </w:rPr>
        <w:t>oa</w:t>
      </w:r>
      <w:r w:rsidR="008C15B8">
        <w:rPr>
          <w:sz w:val="28"/>
          <w:szCs w:val="28"/>
        </w:rPr>
        <w:t xml:space="preserve">d and fuel mix of energy purchased from renewable generation; and 3) the total MWs and MWhs of self-service generation by renewable generation.  </w:t>
      </w:r>
    </w:p>
    <w:p w:rsidR="008C15B8" w:rsidRDefault="008C15B8">
      <w:pPr>
        <w:jc w:val="both"/>
        <w:rPr>
          <w:sz w:val="28"/>
          <w:szCs w:val="28"/>
        </w:rPr>
      </w:pPr>
    </w:p>
    <w:p w:rsidR="00286B76" w:rsidRDefault="00286B76">
      <w:pPr>
        <w:jc w:val="both"/>
        <w:rPr>
          <w:sz w:val="28"/>
          <w:szCs w:val="28"/>
          <w:u w:val="single"/>
        </w:rPr>
      </w:pPr>
      <w:r>
        <w:rPr>
          <w:sz w:val="28"/>
          <w:szCs w:val="28"/>
          <w:u w:val="single"/>
        </w:rPr>
        <w:t>Other Reminders for the year:</w:t>
      </w:r>
    </w:p>
    <w:p w:rsidR="00286B76" w:rsidRPr="00286B76" w:rsidRDefault="00286B76">
      <w:pPr>
        <w:jc w:val="both"/>
        <w:rPr>
          <w:sz w:val="28"/>
          <w:szCs w:val="28"/>
          <w:u w:val="single"/>
        </w:rPr>
      </w:pPr>
    </w:p>
    <w:p w:rsidR="008F33B8" w:rsidRDefault="00EF7096" w:rsidP="00EF7096">
      <w:pPr>
        <w:pStyle w:val="ListParagraph"/>
        <w:numPr>
          <w:ilvl w:val="0"/>
          <w:numId w:val="3"/>
        </w:numPr>
        <w:rPr>
          <w:color w:val="000000" w:themeColor="text1"/>
          <w:sz w:val="28"/>
          <w:szCs w:val="28"/>
        </w:rPr>
      </w:pPr>
      <w:r>
        <w:rPr>
          <w:color w:val="000000" w:themeColor="text1"/>
          <w:sz w:val="28"/>
          <w:szCs w:val="28"/>
        </w:rPr>
        <w:t xml:space="preserve"> </w:t>
      </w:r>
      <w:r w:rsidRPr="00EF7096">
        <w:rPr>
          <w:color w:val="000000" w:themeColor="text1"/>
          <w:sz w:val="28"/>
          <w:szCs w:val="28"/>
          <w:u w:val="single"/>
        </w:rPr>
        <w:t>Streetlight Notification:</w:t>
      </w:r>
      <w:r>
        <w:rPr>
          <w:color w:val="000000" w:themeColor="text1"/>
          <w:sz w:val="28"/>
          <w:szCs w:val="28"/>
        </w:rPr>
        <w:t xml:space="preserve">  </w:t>
      </w:r>
      <w:r w:rsidR="008F33B8" w:rsidRPr="00EF7096">
        <w:rPr>
          <w:color w:val="000000" w:themeColor="text1"/>
          <w:sz w:val="28"/>
          <w:szCs w:val="28"/>
        </w:rPr>
        <w:t xml:space="preserve">If you recall, a bill passed in 2005 granting us immunity from burned out street and outdoor lights if we annually notify our members and the general public how they can report malfunctioning lights.  </w:t>
      </w:r>
      <w:r w:rsidR="00286B76" w:rsidRPr="00EF7096">
        <w:rPr>
          <w:color w:val="000000" w:themeColor="text1"/>
          <w:sz w:val="28"/>
          <w:szCs w:val="28"/>
        </w:rPr>
        <w:t>Please</w:t>
      </w:r>
      <w:r w:rsidR="008F33B8" w:rsidRPr="00EF7096">
        <w:rPr>
          <w:color w:val="000000" w:themeColor="text1"/>
          <w:sz w:val="28"/>
          <w:szCs w:val="28"/>
        </w:rPr>
        <w:t xml:space="preserve"> make sure you have a plan in place to make sure that you are still providing this notice.  </w:t>
      </w:r>
    </w:p>
    <w:p w:rsidR="00EF7096" w:rsidRDefault="00EF7096" w:rsidP="00EF7096">
      <w:pPr>
        <w:pStyle w:val="ListParagraph"/>
        <w:rPr>
          <w:color w:val="000000" w:themeColor="text1"/>
          <w:sz w:val="28"/>
          <w:szCs w:val="28"/>
        </w:rPr>
      </w:pPr>
    </w:p>
    <w:p w:rsidR="00EF7096" w:rsidRPr="00EF7096" w:rsidRDefault="00EF7096" w:rsidP="00EF7096">
      <w:pPr>
        <w:pStyle w:val="ListParagraph"/>
        <w:numPr>
          <w:ilvl w:val="0"/>
          <w:numId w:val="3"/>
        </w:numPr>
        <w:rPr>
          <w:color w:val="000000" w:themeColor="text1"/>
          <w:sz w:val="28"/>
          <w:szCs w:val="28"/>
          <w:u w:val="single"/>
        </w:rPr>
      </w:pPr>
      <w:r w:rsidRPr="00EF7096">
        <w:rPr>
          <w:color w:val="000000" w:themeColor="text1"/>
          <w:sz w:val="28"/>
          <w:szCs w:val="28"/>
          <w:u w:val="single"/>
        </w:rPr>
        <w:t>FECA Filing December Rates for All Members at PSC</w:t>
      </w:r>
      <w:r>
        <w:rPr>
          <w:color w:val="000000" w:themeColor="text1"/>
          <w:sz w:val="28"/>
          <w:szCs w:val="28"/>
          <w:u w:val="single"/>
        </w:rPr>
        <w:t>:</w:t>
      </w:r>
      <w:r>
        <w:rPr>
          <w:color w:val="000000" w:themeColor="text1"/>
          <w:sz w:val="28"/>
          <w:szCs w:val="28"/>
        </w:rPr>
        <w:t xml:space="preserve">  Several co-op rates were incorrect</w:t>
      </w:r>
      <w:r w:rsidR="0090196F">
        <w:rPr>
          <w:color w:val="000000" w:themeColor="text1"/>
          <w:sz w:val="28"/>
          <w:szCs w:val="28"/>
        </w:rPr>
        <w:t>ly reported</w:t>
      </w:r>
      <w:r>
        <w:rPr>
          <w:color w:val="000000" w:themeColor="text1"/>
          <w:sz w:val="28"/>
          <w:szCs w:val="28"/>
        </w:rPr>
        <w:t xml:space="preserve"> in the </w:t>
      </w:r>
      <w:r w:rsidR="00CD47F8">
        <w:rPr>
          <w:color w:val="000000" w:themeColor="text1"/>
          <w:sz w:val="28"/>
          <w:szCs w:val="28"/>
        </w:rPr>
        <w:t xml:space="preserve">PSC’s </w:t>
      </w:r>
      <w:r w:rsidR="0090196F">
        <w:rPr>
          <w:color w:val="000000" w:themeColor="text1"/>
          <w:sz w:val="28"/>
          <w:szCs w:val="28"/>
        </w:rPr>
        <w:t>2011</w:t>
      </w:r>
      <w:r>
        <w:rPr>
          <w:color w:val="000000" w:themeColor="text1"/>
          <w:sz w:val="28"/>
          <w:szCs w:val="28"/>
        </w:rPr>
        <w:t xml:space="preserve"> publication on utility statistics</w:t>
      </w:r>
      <w:r w:rsidR="0090196F">
        <w:rPr>
          <w:color w:val="000000" w:themeColor="text1"/>
          <w:sz w:val="28"/>
          <w:szCs w:val="28"/>
        </w:rPr>
        <w:t xml:space="preserve"> (“</w:t>
      </w:r>
      <w:r w:rsidR="0090196F">
        <w:rPr>
          <w:i/>
          <w:color w:val="000000" w:themeColor="text1"/>
          <w:sz w:val="28"/>
          <w:szCs w:val="28"/>
        </w:rPr>
        <w:t>Facts and Figures of the Florida Utility Industry”)</w:t>
      </w:r>
      <w:r w:rsidR="0090196F">
        <w:rPr>
          <w:color w:val="000000" w:themeColor="text1"/>
          <w:sz w:val="28"/>
          <w:szCs w:val="28"/>
        </w:rPr>
        <w:t xml:space="preserve">.  </w:t>
      </w:r>
      <w:r w:rsidR="00CD47F8">
        <w:rPr>
          <w:color w:val="000000" w:themeColor="text1"/>
          <w:sz w:val="28"/>
          <w:szCs w:val="28"/>
        </w:rPr>
        <w:t>As approved by FECA’s Board and t</w:t>
      </w:r>
      <w:r w:rsidR="0090196F">
        <w:rPr>
          <w:color w:val="000000" w:themeColor="text1"/>
          <w:sz w:val="28"/>
          <w:szCs w:val="28"/>
        </w:rPr>
        <w:t xml:space="preserve">o ensure that this does not happen in the future, </w:t>
      </w:r>
      <w:r w:rsidR="00CD47F8">
        <w:rPr>
          <w:color w:val="000000" w:themeColor="text1"/>
          <w:sz w:val="28"/>
          <w:szCs w:val="28"/>
        </w:rPr>
        <w:t>Statewide</w:t>
      </w:r>
      <w:r w:rsidR="000B7AC2">
        <w:rPr>
          <w:color w:val="000000" w:themeColor="text1"/>
          <w:sz w:val="28"/>
          <w:szCs w:val="28"/>
        </w:rPr>
        <w:t xml:space="preserve"> will</w:t>
      </w:r>
      <w:r w:rsidR="0090196F">
        <w:rPr>
          <w:color w:val="000000" w:themeColor="text1"/>
          <w:sz w:val="28"/>
          <w:szCs w:val="28"/>
        </w:rPr>
        <w:t xml:space="preserve"> file December rates </w:t>
      </w:r>
      <w:r w:rsidR="00CD47F8">
        <w:rPr>
          <w:color w:val="000000" w:themeColor="text1"/>
          <w:sz w:val="28"/>
          <w:szCs w:val="28"/>
        </w:rPr>
        <w:t>on behalf</w:t>
      </w:r>
      <w:r w:rsidR="0090196F">
        <w:rPr>
          <w:color w:val="000000" w:themeColor="text1"/>
          <w:sz w:val="28"/>
          <w:szCs w:val="28"/>
        </w:rPr>
        <w:t xml:space="preserve"> of its members</w:t>
      </w:r>
      <w:r w:rsidR="000B7AC2">
        <w:rPr>
          <w:color w:val="000000" w:themeColor="text1"/>
          <w:sz w:val="28"/>
          <w:szCs w:val="28"/>
        </w:rPr>
        <w:t xml:space="preserve"> each year for inclusion in the publication.  You will receive a data request for your rates and other information from the PSC later in the </w:t>
      </w:r>
      <w:proofErr w:type="gramStart"/>
      <w:r w:rsidR="000B7AC2">
        <w:rPr>
          <w:color w:val="000000" w:themeColor="text1"/>
          <w:sz w:val="28"/>
          <w:szCs w:val="28"/>
        </w:rPr>
        <w:t>new year</w:t>
      </w:r>
      <w:proofErr w:type="gramEnd"/>
      <w:r w:rsidR="00CD47F8">
        <w:rPr>
          <w:color w:val="000000" w:themeColor="text1"/>
          <w:sz w:val="28"/>
          <w:szCs w:val="28"/>
        </w:rPr>
        <w:t xml:space="preserve"> so please indicate on </w:t>
      </w:r>
      <w:r w:rsidR="007428F5">
        <w:rPr>
          <w:color w:val="000000" w:themeColor="text1"/>
          <w:sz w:val="28"/>
          <w:szCs w:val="28"/>
        </w:rPr>
        <w:t>the portion that refers to rates that they</w:t>
      </w:r>
      <w:r w:rsidR="00CD47F8">
        <w:rPr>
          <w:color w:val="000000" w:themeColor="text1"/>
          <w:sz w:val="28"/>
          <w:szCs w:val="28"/>
        </w:rPr>
        <w:t xml:space="preserve"> should use the rates provided by FECA.</w:t>
      </w:r>
      <w:r w:rsidR="0090196F">
        <w:rPr>
          <w:color w:val="000000" w:themeColor="text1"/>
          <w:sz w:val="28"/>
          <w:szCs w:val="28"/>
        </w:rPr>
        <w:t xml:space="preserve"> </w:t>
      </w:r>
    </w:p>
    <w:p w:rsidR="008F33B8" w:rsidRDefault="008F33B8" w:rsidP="008F33B8">
      <w:pPr>
        <w:rPr>
          <w:color w:val="1F497D"/>
        </w:rPr>
      </w:pPr>
    </w:p>
    <w:sectPr w:rsidR="008F33B8" w:rsidSect="008C15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50D33E"/>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A7860B1"/>
    <w:multiLevelType w:val="hybridMultilevel"/>
    <w:tmpl w:val="D5F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B8"/>
    <w:rsid w:val="00035DF4"/>
    <w:rsid w:val="0005743E"/>
    <w:rsid w:val="000B7AC2"/>
    <w:rsid w:val="002612B7"/>
    <w:rsid w:val="00286B76"/>
    <w:rsid w:val="002F465B"/>
    <w:rsid w:val="003711B4"/>
    <w:rsid w:val="00471E1C"/>
    <w:rsid w:val="00473A17"/>
    <w:rsid w:val="004A6405"/>
    <w:rsid w:val="007428F5"/>
    <w:rsid w:val="0086644B"/>
    <w:rsid w:val="008C15B8"/>
    <w:rsid w:val="008F33B8"/>
    <w:rsid w:val="0090196F"/>
    <w:rsid w:val="009C1823"/>
    <w:rsid w:val="00AF6863"/>
    <w:rsid w:val="00CD47F8"/>
    <w:rsid w:val="00D40CD8"/>
    <w:rsid w:val="00E8334D"/>
    <w:rsid w:val="00EF1DC2"/>
    <w:rsid w:val="00E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4463">
      <w:bodyDiv w:val="1"/>
      <w:marLeft w:val="0"/>
      <w:marRight w:val="0"/>
      <w:marTop w:val="0"/>
      <w:marBottom w:val="0"/>
      <w:divBdr>
        <w:top w:val="none" w:sz="0" w:space="0" w:color="auto"/>
        <w:left w:val="none" w:sz="0" w:space="0" w:color="auto"/>
        <w:bottom w:val="none" w:sz="0" w:space="0" w:color="auto"/>
        <w:right w:val="none" w:sz="0" w:space="0" w:color="auto"/>
      </w:divBdr>
    </w:div>
    <w:div w:id="965084992">
      <w:bodyDiv w:val="1"/>
      <w:marLeft w:val="0"/>
      <w:marRight w:val="0"/>
      <w:marTop w:val="0"/>
      <w:marBottom w:val="0"/>
      <w:divBdr>
        <w:top w:val="none" w:sz="0" w:space="0" w:color="auto"/>
        <w:left w:val="none" w:sz="0" w:space="0" w:color="auto"/>
        <w:bottom w:val="none" w:sz="0" w:space="0" w:color="auto"/>
        <w:right w:val="none" w:sz="0" w:space="0" w:color="auto"/>
      </w:divBdr>
    </w:div>
    <w:div w:id="21438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ridaps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18</cp:revision>
  <cp:lastPrinted>2014-12-30T16:13:00Z</cp:lastPrinted>
  <dcterms:created xsi:type="dcterms:W3CDTF">2013-12-30T13:40:00Z</dcterms:created>
  <dcterms:modified xsi:type="dcterms:W3CDTF">2016-12-28T14:23:00Z</dcterms:modified>
</cp:coreProperties>
</file>