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4A" w:rsidRPr="00210B72" w:rsidRDefault="00F5394A" w:rsidP="00F5394A">
      <w:pPr>
        <w:jc w:val="center"/>
        <w:rPr>
          <w:b/>
          <w:sz w:val="26"/>
          <w:szCs w:val="26"/>
        </w:rPr>
      </w:pPr>
      <w:r w:rsidRPr="00210B72">
        <w:rPr>
          <w:b/>
          <w:sz w:val="26"/>
          <w:szCs w:val="26"/>
        </w:rPr>
        <w:t>MEMORANDUM</w:t>
      </w:r>
    </w:p>
    <w:p w:rsidR="00F5394A" w:rsidRPr="003B33F5" w:rsidRDefault="00F5394A" w:rsidP="00F5394A">
      <w:pPr>
        <w:jc w:val="center"/>
      </w:pPr>
    </w:p>
    <w:tbl>
      <w:tblPr>
        <w:tblW w:w="0" w:type="auto"/>
        <w:tblInd w:w="108" w:type="dxa"/>
        <w:tblLayout w:type="fixed"/>
        <w:tblLook w:val="0000" w:firstRow="0" w:lastRow="0" w:firstColumn="0" w:lastColumn="0" w:noHBand="0" w:noVBand="0"/>
      </w:tblPr>
      <w:tblGrid>
        <w:gridCol w:w="1350"/>
        <w:gridCol w:w="90"/>
        <w:gridCol w:w="8010"/>
      </w:tblGrid>
      <w:tr w:rsidR="00F5394A" w:rsidTr="00C654CC">
        <w:tc>
          <w:tcPr>
            <w:tcW w:w="1350" w:type="dxa"/>
          </w:tcPr>
          <w:p w:rsidR="00F5394A" w:rsidRDefault="00F5394A" w:rsidP="00C654CC">
            <w:pPr>
              <w:pStyle w:val="TableHeading"/>
              <w:ind w:left="0"/>
            </w:pPr>
            <w:r>
              <w:t>To:</w:t>
            </w:r>
          </w:p>
        </w:tc>
        <w:tc>
          <w:tcPr>
            <w:tcW w:w="8100" w:type="dxa"/>
            <w:gridSpan w:val="2"/>
          </w:tcPr>
          <w:p w:rsidR="007D6607" w:rsidRDefault="007D6607" w:rsidP="007D6607">
            <w:pPr>
              <w:pStyle w:val="BodyText"/>
              <w:spacing w:after="0"/>
              <w:ind w:left="-108"/>
            </w:pPr>
            <w:r>
              <w:t xml:space="preserve">  </w:t>
            </w:r>
            <w:r w:rsidR="00A47F06">
              <w:t>Martha A. Duggan, S</w:t>
            </w:r>
            <w:r w:rsidR="00A72619">
              <w:t>enior Principal, Regulatory Affai</w:t>
            </w:r>
            <w:r w:rsidR="00A47F06">
              <w:t>rs</w:t>
            </w:r>
          </w:p>
          <w:p w:rsidR="007D6607" w:rsidRDefault="007D6607" w:rsidP="007D6607">
            <w:pPr>
              <w:pStyle w:val="BodyText"/>
              <w:spacing w:after="0"/>
              <w:ind w:left="-108"/>
            </w:pPr>
            <w:r>
              <w:t xml:space="preserve">  J</w:t>
            </w:r>
            <w:r w:rsidR="00A72619">
              <w:t>essica T. Healy, Assistant G</w:t>
            </w:r>
            <w:r w:rsidR="00A47F06">
              <w:t>eneral Counsel</w:t>
            </w:r>
            <w:r>
              <w:t xml:space="preserve"> </w:t>
            </w:r>
          </w:p>
          <w:p w:rsidR="00A47F06" w:rsidRDefault="00A47F06" w:rsidP="00A47F06">
            <w:pPr>
              <w:pStyle w:val="TableData"/>
              <w:spacing w:after="0"/>
            </w:pPr>
          </w:p>
        </w:tc>
      </w:tr>
      <w:tr w:rsidR="00F5394A" w:rsidTr="00C654CC">
        <w:tc>
          <w:tcPr>
            <w:tcW w:w="1350" w:type="dxa"/>
          </w:tcPr>
          <w:p w:rsidR="00F5394A" w:rsidRDefault="00F5394A" w:rsidP="00C654CC">
            <w:pPr>
              <w:pStyle w:val="TableHeading"/>
              <w:ind w:left="0"/>
            </w:pPr>
            <w:r>
              <w:t>From:</w:t>
            </w:r>
          </w:p>
        </w:tc>
        <w:tc>
          <w:tcPr>
            <w:tcW w:w="8100" w:type="dxa"/>
            <w:gridSpan w:val="2"/>
          </w:tcPr>
          <w:p w:rsidR="00F5394A" w:rsidRDefault="00F5394A" w:rsidP="00C654CC">
            <w:pPr>
              <w:pStyle w:val="TableData"/>
              <w:spacing w:after="0"/>
            </w:pPr>
            <w:r>
              <w:t>Ernest B. Abbott</w:t>
            </w:r>
            <w:r w:rsidR="001632A5">
              <w:t xml:space="preserve">, Of Counsel </w:t>
            </w:r>
          </w:p>
          <w:p w:rsidR="001C4723" w:rsidRDefault="00A47F06" w:rsidP="00CE344F">
            <w:pPr>
              <w:pStyle w:val="TableData"/>
              <w:spacing w:after="0"/>
            </w:pPr>
            <w:r>
              <w:t xml:space="preserve">Wendy Huff </w:t>
            </w:r>
            <w:proofErr w:type="spellStart"/>
            <w:r>
              <w:t>Ellard</w:t>
            </w:r>
            <w:proofErr w:type="spellEnd"/>
            <w:r w:rsidR="001632A5">
              <w:t>, Associate</w:t>
            </w:r>
          </w:p>
          <w:p w:rsidR="00CE344F" w:rsidRDefault="00CE344F" w:rsidP="00CE344F">
            <w:pPr>
              <w:pStyle w:val="TableData"/>
              <w:spacing w:after="0"/>
            </w:pPr>
          </w:p>
        </w:tc>
      </w:tr>
      <w:tr w:rsidR="00F5394A" w:rsidTr="00C654CC">
        <w:tc>
          <w:tcPr>
            <w:tcW w:w="1350" w:type="dxa"/>
          </w:tcPr>
          <w:p w:rsidR="00F5394A" w:rsidRDefault="00F5394A" w:rsidP="00C654CC">
            <w:pPr>
              <w:pStyle w:val="TableHeading"/>
              <w:ind w:left="0"/>
            </w:pPr>
            <w:r>
              <w:t>Date:</w:t>
            </w:r>
          </w:p>
        </w:tc>
        <w:tc>
          <w:tcPr>
            <w:tcW w:w="8100" w:type="dxa"/>
            <w:gridSpan w:val="2"/>
          </w:tcPr>
          <w:p w:rsidR="00F5394A" w:rsidRDefault="00A01443" w:rsidP="00DD21B1">
            <w:pPr>
              <w:pStyle w:val="TableData"/>
              <w:spacing w:after="0"/>
            </w:pPr>
            <w:r>
              <w:t>February 22</w:t>
            </w:r>
            <w:bookmarkStart w:id="0" w:name="_GoBack"/>
            <w:bookmarkEnd w:id="0"/>
            <w:r w:rsidR="00F5394A">
              <w:t>, 201</w:t>
            </w:r>
            <w:r w:rsidR="00A47F06">
              <w:t>6</w:t>
            </w:r>
          </w:p>
        </w:tc>
      </w:tr>
      <w:tr w:rsidR="00F5394A" w:rsidTr="00C654CC">
        <w:tc>
          <w:tcPr>
            <w:tcW w:w="1440" w:type="dxa"/>
            <w:gridSpan w:val="2"/>
            <w:tcBorders>
              <w:bottom w:val="double" w:sz="12" w:space="0" w:color="auto"/>
            </w:tcBorders>
          </w:tcPr>
          <w:p w:rsidR="00F5394A" w:rsidRDefault="00F5394A" w:rsidP="00C654CC">
            <w:pPr>
              <w:pStyle w:val="TableHeading"/>
              <w:ind w:left="0"/>
            </w:pPr>
            <w:r>
              <w:t>Re:</w:t>
            </w:r>
          </w:p>
        </w:tc>
        <w:tc>
          <w:tcPr>
            <w:tcW w:w="8010" w:type="dxa"/>
            <w:tcBorders>
              <w:bottom w:val="double" w:sz="12" w:space="0" w:color="auto"/>
            </w:tcBorders>
          </w:tcPr>
          <w:p w:rsidR="00036592" w:rsidRDefault="00840E5D" w:rsidP="00FB2321">
            <w:pPr>
              <w:pStyle w:val="BodyText"/>
              <w:spacing w:after="0"/>
              <w:ind w:left="-108"/>
              <w:jc w:val="left"/>
            </w:pPr>
            <w:r>
              <w:t xml:space="preserve">National Rural Electric Cooperative Association </w:t>
            </w:r>
            <w:r w:rsidR="00FB2321">
              <w:t xml:space="preserve">Member </w:t>
            </w:r>
            <w:r w:rsidR="00A47F06">
              <w:t xml:space="preserve">Compliance with </w:t>
            </w:r>
            <w:r w:rsidR="00210B72">
              <w:t>2 C.F.R. § 200.318(c)(1)</w:t>
            </w:r>
            <w:r w:rsidR="00FB2321">
              <w:t xml:space="preserve"> - </w:t>
            </w:r>
            <w:r w:rsidR="00210B72">
              <w:t xml:space="preserve">General </w:t>
            </w:r>
            <w:r w:rsidR="007D6607">
              <w:t>P</w:t>
            </w:r>
            <w:r w:rsidR="00210B72">
              <w:t>rocur</w:t>
            </w:r>
            <w:r w:rsidR="005F4290">
              <w:t>e</w:t>
            </w:r>
            <w:r w:rsidR="00210B72">
              <w:t xml:space="preserve">ment </w:t>
            </w:r>
            <w:r w:rsidR="007D6607">
              <w:t>S</w:t>
            </w:r>
            <w:r w:rsidR="00210B72">
              <w:t>tandards</w:t>
            </w:r>
            <w:r w:rsidR="007D6607">
              <w:t xml:space="preserve"> /</w:t>
            </w:r>
            <w:r w:rsidR="002D63F3">
              <w:t xml:space="preserve"> Conflicts</w:t>
            </w:r>
            <w:r w:rsidR="005F4290">
              <w:t xml:space="preserve"> of </w:t>
            </w:r>
            <w:r w:rsidR="007D6607">
              <w:t>I</w:t>
            </w:r>
            <w:r w:rsidR="005F4290">
              <w:t>nterests</w:t>
            </w:r>
          </w:p>
          <w:p w:rsidR="00883BC0" w:rsidRDefault="00883BC0" w:rsidP="007D6607">
            <w:pPr>
              <w:pStyle w:val="BodyText"/>
              <w:spacing w:after="0"/>
              <w:ind w:left="-108"/>
            </w:pPr>
          </w:p>
        </w:tc>
      </w:tr>
    </w:tbl>
    <w:p w:rsidR="00F5394A" w:rsidRDefault="00F5394A" w:rsidP="002F4A22">
      <w:pPr>
        <w:jc w:val="both"/>
      </w:pPr>
    </w:p>
    <w:p w:rsidR="004A2E68" w:rsidRPr="004A2E68" w:rsidRDefault="004A2E68" w:rsidP="00F20BC6">
      <w:pPr>
        <w:jc w:val="both"/>
      </w:pPr>
      <w:r>
        <w:tab/>
      </w:r>
      <w:r w:rsidRPr="004A2E68">
        <w:t xml:space="preserve">The National Rural Electric Cooperative Association (“NRECA”) is the national service organization for more than 900 not-for-profit rural electric utilities that provide electric energy to over 42 million people in 47 states or 12 percent of electric customers.  Every year, NRECA's member cooperatives lose critical facilities and infrastructure to ice storms, tornadoes, floods, hurricanes and the like. If this damage is caused by a major disaster declared by the President of the United States, then many of the cooperatives’ response and recovery costs are eligible for reimbursement </w:t>
      </w:r>
      <w:r w:rsidR="0002648D">
        <w:t>assistance</w:t>
      </w:r>
      <w:r w:rsidR="00B5501F">
        <w:t xml:space="preserve"> </w:t>
      </w:r>
      <w:r w:rsidRPr="004A2E68">
        <w:t>from the Federal Emergency Management Agency (“FEMA”)</w:t>
      </w:r>
      <w:r w:rsidR="008076A5">
        <w:t xml:space="preserve"> via its P</w:t>
      </w:r>
      <w:r w:rsidRPr="004A2E68">
        <w:t>ublic Assistance Program</w:t>
      </w:r>
      <w:r w:rsidR="008076A5">
        <w:t xml:space="preserve">. </w:t>
      </w:r>
    </w:p>
    <w:p w:rsidR="004A2E68" w:rsidRDefault="004A2E68" w:rsidP="006739E3">
      <w:pPr>
        <w:jc w:val="both"/>
      </w:pPr>
    </w:p>
    <w:p w:rsidR="00BB7796" w:rsidRDefault="008076A5" w:rsidP="006739E3">
      <w:pPr>
        <w:jc w:val="both"/>
        <w:rPr>
          <w:color w:val="000000"/>
        </w:rPr>
      </w:pPr>
      <w:r>
        <w:tab/>
      </w:r>
      <w:r w:rsidR="00443D83">
        <w:t>D</w:t>
      </w:r>
      <w:r w:rsidR="00466DB2">
        <w:t xml:space="preserve">isaster </w:t>
      </w:r>
      <w:r w:rsidR="00443D83">
        <w:t>a</w:t>
      </w:r>
      <w:r w:rsidR="00466DB2">
        <w:t>ssistance under FEMA</w:t>
      </w:r>
      <w:r w:rsidR="008706C9">
        <w:t>’</w:t>
      </w:r>
      <w:r w:rsidR="00466DB2">
        <w:t xml:space="preserve">s Public Assistance Program is administered as a federal grant and as such is subject to the </w:t>
      </w:r>
      <w:r w:rsidR="00466DB2" w:rsidRPr="008773D1">
        <w:rPr>
          <w:i/>
        </w:rPr>
        <w:t>Uniform Administrative Requirements</w:t>
      </w:r>
      <w:r w:rsidR="00443D83" w:rsidRPr="008773D1">
        <w:rPr>
          <w:i/>
        </w:rPr>
        <w:t xml:space="preserve">, Cost Principles, and Audit </w:t>
      </w:r>
      <w:r w:rsidR="00840E5D" w:rsidRPr="008773D1">
        <w:rPr>
          <w:i/>
        </w:rPr>
        <w:t>Requirements</w:t>
      </w:r>
      <w:r w:rsidR="00443D83" w:rsidRPr="008773D1">
        <w:rPr>
          <w:i/>
        </w:rPr>
        <w:t xml:space="preserve"> for Federal Awards</w:t>
      </w:r>
      <w:r w:rsidR="00466DB2">
        <w:t xml:space="preserve">, codified at </w:t>
      </w:r>
      <w:r w:rsidR="00443D83">
        <w:t>2</w:t>
      </w:r>
      <w:r w:rsidR="00466DB2">
        <w:rPr>
          <w:color w:val="000000"/>
        </w:rPr>
        <w:t xml:space="preserve"> C.F.R.</w:t>
      </w:r>
      <w:r w:rsidR="00443D83">
        <w:rPr>
          <w:color w:val="000000"/>
        </w:rPr>
        <w:t>, Chapter I and II, Part 200, et al</w:t>
      </w:r>
      <w:r w:rsidR="00C8064E">
        <w:rPr>
          <w:color w:val="000000"/>
        </w:rPr>
        <w:t>.</w:t>
      </w:r>
      <w:r w:rsidR="00466DB2">
        <w:rPr>
          <w:rStyle w:val="FootnoteReference"/>
          <w:color w:val="000000"/>
        </w:rPr>
        <w:footnoteReference w:id="1"/>
      </w:r>
      <w:r w:rsidR="002E1A7D">
        <w:rPr>
          <w:color w:val="000000"/>
        </w:rPr>
        <w:t>,</w:t>
      </w:r>
      <w:r w:rsidR="002E1A7D">
        <w:rPr>
          <w:rStyle w:val="FootnoteReference"/>
          <w:color w:val="000000"/>
        </w:rPr>
        <w:footnoteReference w:id="2"/>
      </w:r>
      <w:r w:rsidR="00C8064E">
        <w:rPr>
          <w:color w:val="000000"/>
        </w:rPr>
        <w:t xml:space="preserve">   These regulations</w:t>
      </w:r>
      <w:r w:rsidR="008773D1">
        <w:rPr>
          <w:color w:val="000000"/>
        </w:rPr>
        <w:t>,</w:t>
      </w:r>
      <w:r w:rsidR="00C8064E">
        <w:rPr>
          <w:color w:val="000000"/>
        </w:rPr>
        <w:t xml:space="preserve"> commonly referred to as the "Super Circular</w:t>
      </w:r>
      <w:r w:rsidR="007D6607">
        <w:rPr>
          <w:color w:val="000000"/>
        </w:rPr>
        <w:t>,</w:t>
      </w:r>
      <w:r w:rsidR="00C8064E">
        <w:rPr>
          <w:color w:val="000000"/>
        </w:rPr>
        <w:t xml:space="preserve">" </w:t>
      </w:r>
      <w:r w:rsidR="006739E3" w:rsidRPr="00FD37AF">
        <w:rPr>
          <w:color w:val="000000"/>
        </w:rPr>
        <w:t xml:space="preserve">consolidate </w:t>
      </w:r>
      <w:r w:rsidR="006739E3">
        <w:rPr>
          <w:color w:val="000000"/>
        </w:rPr>
        <w:t xml:space="preserve">program </w:t>
      </w:r>
      <w:r w:rsidR="006739E3" w:rsidRPr="00FD37AF">
        <w:rPr>
          <w:color w:val="000000"/>
        </w:rPr>
        <w:t xml:space="preserve">requirements previously found </w:t>
      </w:r>
      <w:r w:rsidR="006739E3">
        <w:rPr>
          <w:color w:val="000000"/>
        </w:rPr>
        <w:t xml:space="preserve">in 44 C.F.R. Part 13 (the codified OMB Circular A-102, Grant Awards and Cooperative Agreements with State and Local Governments), 2 C.F.R. Part 215 (codified OMB Circular A-110, Uniform Administrative Requirements for Awards and Other Agreements with </w:t>
      </w:r>
      <w:r w:rsidR="006739E3" w:rsidRPr="008773D1">
        <w:rPr>
          <w:color w:val="000000"/>
        </w:rPr>
        <w:t>Inst</w:t>
      </w:r>
      <w:r w:rsidR="006739E3">
        <w:rPr>
          <w:color w:val="000000"/>
        </w:rPr>
        <w:t>i</w:t>
      </w:r>
      <w:r w:rsidR="006739E3" w:rsidRPr="008773D1">
        <w:rPr>
          <w:color w:val="000000"/>
        </w:rPr>
        <w:t>t</w:t>
      </w:r>
      <w:r w:rsidR="006739E3">
        <w:rPr>
          <w:color w:val="000000"/>
        </w:rPr>
        <w:t>utions</w:t>
      </w:r>
      <w:r w:rsidR="006739E3" w:rsidRPr="008773D1">
        <w:rPr>
          <w:color w:val="000000"/>
        </w:rPr>
        <w:t xml:space="preserve"> of Higher Education, Hospitals, and Other Nonprofit Organizations</w:t>
      </w:r>
      <w:r w:rsidR="006739E3">
        <w:rPr>
          <w:color w:val="000000"/>
        </w:rPr>
        <w:t xml:space="preserve">) and general grant </w:t>
      </w:r>
      <w:r w:rsidR="006739E3">
        <w:rPr>
          <w:color w:val="000000"/>
        </w:rPr>
        <w:lastRenderedPageBreak/>
        <w:t>administration requirements found in</w:t>
      </w:r>
      <w:r w:rsidR="006739E3" w:rsidRPr="00FD37AF">
        <w:rPr>
          <w:color w:val="000000"/>
        </w:rPr>
        <w:t xml:space="preserve"> </w:t>
      </w:r>
      <w:r w:rsidR="006739E3">
        <w:rPr>
          <w:color w:val="000000"/>
        </w:rPr>
        <w:t>six</w:t>
      </w:r>
      <w:r w:rsidR="006739E3" w:rsidRPr="00FD37AF">
        <w:rPr>
          <w:color w:val="000000"/>
        </w:rPr>
        <w:t xml:space="preserve"> </w:t>
      </w:r>
      <w:r w:rsidR="006739E3">
        <w:rPr>
          <w:color w:val="000000"/>
        </w:rPr>
        <w:t xml:space="preserve">other </w:t>
      </w:r>
      <w:r w:rsidR="006739E3" w:rsidRPr="00FD37AF">
        <w:rPr>
          <w:color w:val="000000"/>
        </w:rPr>
        <w:t>separate OMB documents</w:t>
      </w:r>
      <w:r w:rsidR="006739E3">
        <w:rPr>
          <w:color w:val="000000"/>
        </w:rPr>
        <w:t>.</w:t>
      </w:r>
      <w:r w:rsidR="006739E3">
        <w:rPr>
          <w:rStyle w:val="FootnoteReference"/>
          <w:color w:val="000000"/>
        </w:rPr>
        <w:footnoteReference w:id="3"/>
      </w:r>
      <w:r w:rsidR="006739E3">
        <w:rPr>
          <w:color w:val="000000"/>
        </w:rPr>
        <w:t xml:space="preserve">  </w:t>
      </w:r>
      <w:r w:rsidR="00A66ADB">
        <w:rPr>
          <w:color w:val="000000"/>
        </w:rPr>
        <w:t xml:space="preserve">The intent of the Super Circular is to provide </w:t>
      </w:r>
      <w:r w:rsidR="006C1D9D" w:rsidRPr="00FD37AF">
        <w:rPr>
          <w:color w:val="000000"/>
        </w:rPr>
        <w:t>streamline</w:t>
      </w:r>
      <w:r w:rsidR="00A66ADB">
        <w:rPr>
          <w:color w:val="000000"/>
        </w:rPr>
        <w:t>d</w:t>
      </w:r>
      <w:r w:rsidR="006C1D9D" w:rsidRPr="00FD37AF">
        <w:rPr>
          <w:color w:val="000000"/>
        </w:rPr>
        <w:t xml:space="preserve"> guidance for federal awards</w:t>
      </w:r>
      <w:r w:rsidR="00A66ADB">
        <w:rPr>
          <w:color w:val="000000"/>
        </w:rPr>
        <w:t xml:space="preserve"> to "non-Federal entities," a term defi</w:t>
      </w:r>
      <w:r w:rsidR="0002648D">
        <w:rPr>
          <w:color w:val="000000"/>
        </w:rPr>
        <w:t>ned</w:t>
      </w:r>
      <w:r w:rsidR="00A66ADB">
        <w:rPr>
          <w:color w:val="000000"/>
        </w:rPr>
        <w:t xml:space="preserve"> to include all state, local </w:t>
      </w:r>
      <w:r w:rsidR="0002648D">
        <w:rPr>
          <w:color w:val="000000"/>
        </w:rPr>
        <w:t>government</w:t>
      </w:r>
      <w:r w:rsidR="00A66ADB">
        <w:rPr>
          <w:color w:val="000000"/>
        </w:rPr>
        <w:t xml:space="preserve">, Indian tribal </w:t>
      </w:r>
      <w:r w:rsidR="0002648D">
        <w:rPr>
          <w:color w:val="000000"/>
        </w:rPr>
        <w:t>government</w:t>
      </w:r>
      <w:r w:rsidR="00A66ADB">
        <w:rPr>
          <w:color w:val="000000"/>
        </w:rPr>
        <w:t xml:space="preserve">, and </w:t>
      </w:r>
      <w:r w:rsidR="00A66ADB" w:rsidRPr="007D63E5">
        <w:rPr>
          <w:color w:val="000000"/>
        </w:rPr>
        <w:t xml:space="preserve">nonprofit </w:t>
      </w:r>
      <w:r w:rsidR="00A66ADB">
        <w:rPr>
          <w:color w:val="000000"/>
        </w:rPr>
        <w:t>grant recipients</w:t>
      </w:r>
      <w:r w:rsidR="0009395C">
        <w:rPr>
          <w:color w:val="000000"/>
        </w:rPr>
        <w:t xml:space="preserve"> (including electric cooperatives)</w:t>
      </w:r>
      <w:r w:rsidR="006C1D9D" w:rsidRPr="00FD37AF">
        <w:rPr>
          <w:color w:val="000000"/>
        </w:rPr>
        <w:t>.</w:t>
      </w:r>
      <w:r w:rsidR="00A66ADB">
        <w:rPr>
          <w:rStyle w:val="FootnoteReference"/>
          <w:color w:val="000000"/>
        </w:rPr>
        <w:footnoteReference w:id="4"/>
      </w:r>
      <w:r w:rsidR="006C1D9D" w:rsidRPr="00FD37AF">
        <w:rPr>
          <w:color w:val="000000"/>
        </w:rPr>
        <w:t xml:space="preserve"> </w:t>
      </w:r>
      <w:r w:rsidR="00A66ADB">
        <w:rPr>
          <w:color w:val="000000"/>
        </w:rPr>
        <w:t xml:space="preserve"> </w:t>
      </w:r>
      <w:r w:rsidR="006C1D9D" w:rsidRPr="00FD37AF">
        <w:rPr>
          <w:color w:val="000000"/>
        </w:rPr>
        <w:t xml:space="preserve"> </w:t>
      </w:r>
      <w:r>
        <w:rPr>
          <w:color w:val="000000"/>
        </w:rPr>
        <w:t xml:space="preserve"> </w:t>
      </w:r>
    </w:p>
    <w:p w:rsidR="00A67132" w:rsidRDefault="00A67132" w:rsidP="006C1D9D">
      <w:pPr>
        <w:rPr>
          <w:color w:val="000000"/>
        </w:rPr>
      </w:pPr>
    </w:p>
    <w:p w:rsidR="00445C96" w:rsidRDefault="00A67132" w:rsidP="0009395C">
      <w:pPr>
        <w:jc w:val="both"/>
      </w:pPr>
      <w:r>
        <w:rPr>
          <w:color w:val="000000"/>
        </w:rPr>
        <w:tab/>
      </w:r>
      <w:r w:rsidR="00445C96">
        <w:rPr>
          <w:color w:val="000000"/>
        </w:rPr>
        <w:t xml:space="preserve">NRECA has asked for our </w:t>
      </w:r>
      <w:r w:rsidR="0002648D">
        <w:rPr>
          <w:color w:val="000000"/>
        </w:rPr>
        <w:t>evaluation</w:t>
      </w:r>
      <w:r w:rsidR="00445C96">
        <w:rPr>
          <w:color w:val="000000"/>
        </w:rPr>
        <w:t xml:space="preserve"> of how several activities might </w:t>
      </w:r>
      <w:r w:rsidR="0002648D">
        <w:rPr>
          <w:color w:val="000000"/>
        </w:rPr>
        <w:t>potentially</w:t>
      </w:r>
      <w:r w:rsidR="00445C96">
        <w:rPr>
          <w:color w:val="000000"/>
        </w:rPr>
        <w:t xml:space="preserve"> impact </w:t>
      </w:r>
      <w:r w:rsidR="0002648D">
        <w:rPr>
          <w:color w:val="000000"/>
        </w:rPr>
        <w:t>reimbursement</w:t>
      </w:r>
      <w:r w:rsidR="00445C96">
        <w:rPr>
          <w:color w:val="000000"/>
        </w:rPr>
        <w:t xml:space="preserve"> funding otherwise eligible for grant </w:t>
      </w:r>
      <w:r w:rsidR="0002648D">
        <w:rPr>
          <w:color w:val="000000"/>
        </w:rPr>
        <w:t>assistance</w:t>
      </w:r>
      <w:r w:rsidR="00445C96">
        <w:rPr>
          <w:color w:val="000000"/>
        </w:rPr>
        <w:t xml:space="preserve"> to its member cooperatives </w:t>
      </w:r>
      <w:r w:rsidR="0002648D">
        <w:rPr>
          <w:color w:val="000000"/>
        </w:rPr>
        <w:t>through</w:t>
      </w:r>
      <w:r w:rsidR="00445C96">
        <w:rPr>
          <w:color w:val="000000"/>
        </w:rPr>
        <w:t xml:space="preserve"> FEMA's Public </w:t>
      </w:r>
      <w:r w:rsidR="0002648D">
        <w:rPr>
          <w:color w:val="000000"/>
        </w:rPr>
        <w:t>Assistance</w:t>
      </w:r>
      <w:r w:rsidR="00445C96">
        <w:rPr>
          <w:color w:val="000000"/>
        </w:rPr>
        <w:t xml:space="preserve"> </w:t>
      </w:r>
      <w:r w:rsidR="0002648D">
        <w:rPr>
          <w:color w:val="000000"/>
        </w:rPr>
        <w:t>Program</w:t>
      </w:r>
      <w:r w:rsidR="00844F65">
        <w:rPr>
          <w:color w:val="000000"/>
        </w:rPr>
        <w:t>.  S</w:t>
      </w:r>
      <w:r w:rsidR="00445C96">
        <w:rPr>
          <w:color w:val="000000"/>
        </w:rPr>
        <w:t>pecifically</w:t>
      </w:r>
      <w:r w:rsidR="005413C0">
        <w:rPr>
          <w:color w:val="000000"/>
        </w:rPr>
        <w:t>,</w:t>
      </w:r>
      <w:r w:rsidR="00844F65">
        <w:rPr>
          <w:color w:val="000000"/>
        </w:rPr>
        <w:t xml:space="preserve"> NRECA has asked us to provide guidance </w:t>
      </w:r>
      <w:proofErr w:type="gramStart"/>
      <w:r w:rsidR="00844F65">
        <w:rPr>
          <w:color w:val="000000"/>
        </w:rPr>
        <w:t xml:space="preserve">on </w:t>
      </w:r>
      <w:r w:rsidR="00445C96">
        <w:rPr>
          <w:color w:val="000000"/>
        </w:rPr>
        <w:t xml:space="preserve"> whether</w:t>
      </w:r>
      <w:proofErr w:type="gramEnd"/>
      <w:r w:rsidR="00445C96">
        <w:rPr>
          <w:color w:val="000000"/>
        </w:rPr>
        <w:t xml:space="preserve"> certain </w:t>
      </w:r>
      <w:r w:rsidR="00844F65">
        <w:rPr>
          <w:color w:val="000000"/>
        </w:rPr>
        <w:t>gifts to, or social situations involving, NRECA member cooperative</w:t>
      </w:r>
      <w:r w:rsidR="00373BBC">
        <w:rPr>
          <w:color w:val="000000"/>
        </w:rPr>
        <w:t>s’</w:t>
      </w:r>
      <w:r w:rsidR="00844F65">
        <w:rPr>
          <w:color w:val="000000"/>
        </w:rPr>
        <w:t xml:space="preserve"> officers or employees </w:t>
      </w:r>
      <w:r w:rsidR="00445C96">
        <w:rPr>
          <w:color w:val="000000"/>
        </w:rPr>
        <w:t>may be perceived as</w:t>
      </w:r>
      <w:r w:rsidR="00373BBC">
        <w:rPr>
          <w:color w:val="000000"/>
        </w:rPr>
        <w:t xml:space="preserve"> unethical and</w:t>
      </w:r>
      <w:r w:rsidR="00445C96">
        <w:rPr>
          <w:color w:val="000000"/>
        </w:rPr>
        <w:t xml:space="preserve"> </w:t>
      </w:r>
      <w:r w:rsidR="0002648D">
        <w:rPr>
          <w:color w:val="000000"/>
        </w:rPr>
        <w:t>impermissible</w:t>
      </w:r>
      <w:r w:rsidR="00445C96">
        <w:rPr>
          <w:color w:val="000000"/>
        </w:rPr>
        <w:t xml:space="preserve"> under</w:t>
      </w:r>
      <w:r w:rsidR="00844F65">
        <w:rPr>
          <w:color w:val="000000"/>
        </w:rPr>
        <w:t xml:space="preserve"> federal</w:t>
      </w:r>
      <w:r w:rsidR="00445C96">
        <w:rPr>
          <w:color w:val="000000"/>
        </w:rPr>
        <w:t xml:space="preserve"> </w:t>
      </w:r>
      <w:r w:rsidR="004875E7">
        <w:rPr>
          <w:color w:val="000000"/>
        </w:rPr>
        <w:t>regulat</w:t>
      </w:r>
      <w:r w:rsidR="00844F65">
        <w:rPr>
          <w:color w:val="000000"/>
        </w:rPr>
        <w:t xml:space="preserve">ions applicable to </w:t>
      </w:r>
      <w:r w:rsidR="001170A3">
        <w:rPr>
          <w:color w:val="000000"/>
        </w:rPr>
        <w:t>cooperatives</w:t>
      </w:r>
      <w:r w:rsidR="00844F65">
        <w:rPr>
          <w:color w:val="000000"/>
        </w:rPr>
        <w:t xml:space="preserve"> that </w:t>
      </w:r>
      <w:r w:rsidR="004875E7">
        <w:rPr>
          <w:color w:val="000000"/>
        </w:rPr>
        <w:t>receive grants from FEMA</w:t>
      </w:r>
      <w:r w:rsidR="00445C96">
        <w:rPr>
          <w:color w:val="000000"/>
        </w:rPr>
        <w:t xml:space="preserve">.  </w:t>
      </w:r>
      <w:r w:rsidR="00006718">
        <w:t>Thi</w:t>
      </w:r>
      <w:r w:rsidR="008626C2">
        <w:t xml:space="preserve">s memorandum (1) </w:t>
      </w:r>
      <w:r w:rsidR="0002648D">
        <w:t>summarizes</w:t>
      </w:r>
      <w:r w:rsidR="00A66ADB">
        <w:t xml:space="preserve"> the </w:t>
      </w:r>
      <w:r w:rsidR="0002648D">
        <w:t>available</w:t>
      </w:r>
      <w:r w:rsidR="00A66ADB">
        <w:t xml:space="preserve"> </w:t>
      </w:r>
      <w:r w:rsidR="0002648D">
        <w:t>information</w:t>
      </w:r>
      <w:r w:rsidR="00A66ADB">
        <w:t xml:space="preserve"> with </w:t>
      </w:r>
      <w:r w:rsidR="0002648D">
        <w:t>respect</w:t>
      </w:r>
      <w:r w:rsidR="00A66ADB">
        <w:t xml:space="preserve"> to compliance with </w:t>
      </w:r>
      <w:r w:rsidR="00F42AD6">
        <w:t xml:space="preserve">the prohibition regarding </w:t>
      </w:r>
      <w:r w:rsidR="00445C96">
        <w:t>gifts as per current/potential vendors and NRECA member cooperatives</w:t>
      </w:r>
      <w:r w:rsidR="00A66ADB">
        <w:t xml:space="preserve">; and (2) </w:t>
      </w:r>
      <w:r w:rsidR="005752B7">
        <w:t xml:space="preserve">provides </w:t>
      </w:r>
      <w:r w:rsidR="00445C96">
        <w:t xml:space="preserve">our </w:t>
      </w:r>
      <w:r w:rsidR="0002648D">
        <w:t>recommendations</w:t>
      </w:r>
      <w:r w:rsidR="00445C96">
        <w:t xml:space="preserve"> as to what, if any, mitigating actions should be considered to lessen the </w:t>
      </w:r>
      <w:r w:rsidR="0002648D">
        <w:t>potential risks</w:t>
      </w:r>
      <w:r w:rsidR="00445C96">
        <w:t xml:space="preserve"> that these activities might impact current/future eligibility for funds that may be claimed under FEMA's Public Assistance </w:t>
      </w:r>
      <w:r w:rsidR="0002648D">
        <w:t>Program</w:t>
      </w:r>
      <w:r w:rsidR="00445C96">
        <w:t xml:space="preserve">.  </w:t>
      </w:r>
    </w:p>
    <w:p w:rsidR="00C654CC" w:rsidRPr="00F5394A" w:rsidRDefault="00C654CC" w:rsidP="006F1073">
      <w:pPr>
        <w:jc w:val="both"/>
      </w:pPr>
    </w:p>
    <w:p w:rsidR="002E1A7D" w:rsidRDefault="00486973" w:rsidP="00486973">
      <w:pPr>
        <w:pStyle w:val="Heading2"/>
      </w:pPr>
      <w:r>
        <w:t>Summary of Evaluation</w:t>
      </w:r>
      <w:r w:rsidR="003F5A4C">
        <w:t xml:space="preserve"> and Recommendations</w:t>
      </w:r>
      <w:r w:rsidR="002E1A7D">
        <w:tab/>
      </w:r>
    </w:p>
    <w:p w:rsidR="007653FA" w:rsidRDefault="002E1A7D" w:rsidP="0009395C">
      <w:pPr>
        <w:jc w:val="both"/>
        <w:rPr>
          <w:color w:val="000000"/>
        </w:rPr>
      </w:pPr>
      <w:r>
        <w:rPr>
          <w:color w:val="000000"/>
        </w:rPr>
        <w:tab/>
      </w:r>
      <w:r w:rsidR="007653FA">
        <w:rPr>
          <w:color w:val="000000"/>
        </w:rPr>
        <w:t>F</w:t>
      </w:r>
      <w:r w:rsidR="007653FA" w:rsidRPr="00CB197A">
        <w:rPr>
          <w:color w:val="000000"/>
        </w:rPr>
        <w:t xml:space="preserve">ederal grant regulations </w:t>
      </w:r>
      <w:r w:rsidR="007653FA">
        <w:rPr>
          <w:color w:val="000000"/>
        </w:rPr>
        <w:t>within the Super Circular at 2 C.F.R. §§ 200.317 through 326</w:t>
      </w:r>
      <w:r w:rsidR="007653FA">
        <w:rPr>
          <w:rStyle w:val="FootnoteReference"/>
          <w:color w:val="000000"/>
        </w:rPr>
        <w:footnoteReference w:id="5"/>
      </w:r>
      <w:r w:rsidR="007653FA">
        <w:rPr>
          <w:color w:val="000000"/>
        </w:rPr>
        <w:t xml:space="preserve"> set forth various procurement standards applicable to all non-Federal entities</w:t>
      </w:r>
      <w:r w:rsidR="007707DD">
        <w:rPr>
          <w:color w:val="000000"/>
        </w:rPr>
        <w:t xml:space="preserve"> receiving Federal grant funds</w:t>
      </w:r>
      <w:r w:rsidR="007653FA">
        <w:rPr>
          <w:color w:val="000000"/>
        </w:rPr>
        <w:t xml:space="preserve">.  These include, among others, a requirement to "maintain </w:t>
      </w:r>
      <w:r w:rsidR="007653FA" w:rsidRPr="00BB5009">
        <w:rPr>
          <w:color w:val="000000"/>
        </w:rPr>
        <w:t>written standards of conduct covering conflicts of interest and governing the performance of its employees engaged in the selection, award and administration of contracts.</w:t>
      </w:r>
      <w:r w:rsidR="007653FA">
        <w:rPr>
          <w:color w:val="000000"/>
        </w:rPr>
        <w:t>"</w:t>
      </w:r>
      <w:r w:rsidR="007653FA">
        <w:rPr>
          <w:rStyle w:val="FootnoteReference"/>
          <w:color w:val="000000"/>
        </w:rPr>
        <w:footnoteReference w:id="6"/>
      </w:r>
      <w:r w:rsidR="007653FA" w:rsidRPr="00BB5009">
        <w:rPr>
          <w:color w:val="000000"/>
        </w:rPr>
        <w:t xml:space="preserve"> </w:t>
      </w:r>
      <w:r w:rsidR="007653FA">
        <w:rPr>
          <w:color w:val="000000"/>
        </w:rPr>
        <w:t xml:space="preserve"> This section continues with several specific limitations that may give rise to an actual or perceived conflict of interest if not handled appropriately</w:t>
      </w:r>
      <w:r w:rsidR="007707DD">
        <w:rPr>
          <w:color w:val="000000"/>
        </w:rPr>
        <w:t>,</w:t>
      </w:r>
      <w:r w:rsidR="0009395C">
        <w:rPr>
          <w:color w:val="000000"/>
        </w:rPr>
        <w:t xml:space="preserve"> including a statement that</w:t>
      </w:r>
      <w:r w:rsidR="007653FA">
        <w:rPr>
          <w:color w:val="000000"/>
        </w:rPr>
        <w:t>:</w:t>
      </w:r>
    </w:p>
    <w:p w:rsidR="007653FA" w:rsidRDefault="007653FA" w:rsidP="007653FA">
      <w:pPr>
        <w:rPr>
          <w:color w:val="000000"/>
        </w:rPr>
      </w:pPr>
    </w:p>
    <w:p w:rsidR="007653FA" w:rsidRDefault="007653FA" w:rsidP="0009395C">
      <w:pPr>
        <w:pStyle w:val="BodyText"/>
        <w:spacing w:after="0"/>
        <w:ind w:left="720"/>
      </w:pPr>
      <w:r w:rsidRPr="00466DFE">
        <w:t>The officers,</w:t>
      </w:r>
      <w:r>
        <w:t xml:space="preserve"> </w:t>
      </w:r>
      <w:r w:rsidRPr="00466DFE">
        <w:t>employees, and agents of the non-Federal entity must neither solicit nor</w:t>
      </w:r>
      <w:r>
        <w:t xml:space="preserve"> </w:t>
      </w:r>
      <w:r w:rsidRPr="00466DFE">
        <w:t>accept gratuities, favors, or anything of</w:t>
      </w:r>
      <w:r>
        <w:t xml:space="preserve"> </w:t>
      </w:r>
      <w:r w:rsidRPr="00466DFE">
        <w:t>monetary value from contractors or</w:t>
      </w:r>
      <w:r>
        <w:t xml:space="preserve"> </w:t>
      </w:r>
      <w:r w:rsidRPr="00466DFE">
        <w:t>parties to subcontracts.</w:t>
      </w:r>
      <w:r>
        <w:rPr>
          <w:rStyle w:val="FootnoteReference"/>
        </w:rPr>
        <w:footnoteReference w:id="7"/>
      </w:r>
    </w:p>
    <w:p w:rsidR="007653FA" w:rsidRDefault="007653FA" w:rsidP="007653FA">
      <w:pPr>
        <w:jc w:val="both"/>
      </w:pPr>
      <w:r>
        <w:tab/>
      </w:r>
    </w:p>
    <w:p w:rsidR="00373BBC" w:rsidRDefault="007653FA" w:rsidP="007653FA">
      <w:pPr>
        <w:jc w:val="both"/>
      </w:pPr>
      <w:r>
        <w:tab/>
      </w:r>
      <w:r w:rsidR="00373BBC" w:rsidRPr="00373BBC">
        <w:t>To comply with these explicit regulatory requirements, all cooperatives that are eligible for FEMA Public Assistance funding, or funding under any other federal grant, should have in place written standards governing procurements</w:t>
      </w:r>
      <w:r w:rsidR="005413C0">
        <w:t>,</w:t>
      </w:r>
      <w:r w:rsidR="00373BBC" w:rsidRPr="00373BBC">
        <w:t xml:space="preserve"> including consideration of how potential conflict of interests situations, including gifting, will be evaluated.  These standards are required for any cooperatives currently receiving assistance from FEMA, and would be required should a cooperative receive FEMA assistance in the future. </w:t>
      </w:r>
    </w:p>
    <w:p w:rsidR="00373BBC" w:rsidRDefault="00373BBC" w:rsidP="007653FA">
      <w:pPr>
        <w:jc w:val="both"/>
      </w:pPr>
    </w:p>
    <w:p w:rsidR="007653FA" w:rsidRDefault="00373BBC" w:rsidP="007653FA">
      <w:pPr>
        <w:jc w:val="both"/>
      </w:pPr>
      <w:r>
        <w:tab/>
        <w:t xml:space="preserve">The regulations </w:t>
      </w:r>
      <w:r w:rsidR="00D62753">
        <w:t>themselves</w:t>
      </w:r>
      <w:r w:rsidR="00C33A9E">
        <w:t xml:space="preserve"> </w:t>
      </w:r>
      <w:r>
        <w:t xml:space="preserve">do not dictate </w:t>
      </w:r>
      <w:r w:rsidR="00C33A9E">
        <w:t xml:space="preserve">the substantive content of the conflict of interest standards required of federal grant recipients. They do indicate </w:t>
      </w:r>
      <w:r w:rsidR="005413C0">
        <w:t xml:space="preserve">that </w:t>
      </w:r>
      <w:r w:rsidR="00C33A9E">
        <w:t xml:space="preserve">recipients have some flexibility, </w:t>
      </w:r>
      <w:r w:rsidR="00C33A9E">
        <w:lastRenderedPageBreak/>
        <w:t xml:space="preserve">stating </w:t>
      </w:r>
      <w:r w:rsidR="007653FA">
        <w:t xml:space="preserve">that non-Federal entities, including electric </w:t>
      </w:r>
      <w:r w:rsidR="00524261">
        <w:t>cooperatives</w:t>
      </w:r>
      <w:r w:rsidR="007653FA">
        <w:t>, "may</w:t>
      </w:r>
      <w:r w:rsidR="007653FA" w:rsidRPr="009E4FC1">
        <w:t xml:space="preserve"> set standards for situations in which the financial interest is not substantial or the gift is an unsolicited item of nominal value.</w:t>
      </w:r>
      <w:r w:rsidR="007653FA">
        <w:t>"</w:t>
      </w:r>
      <w:r w:rsidR="007653FA">
        <w:rPr>
          <w:rStyle w:val="FootnoteReference"/>
        </w:rPr>
        <w:footnoteReference w:id="8"/>
      </w:r>
      <w:r w:rsidR="007653FA">
        <w:t xml:space="preserve">  </w:t>
      </w:r>
      <w:r w:rsidR="003031D3">
        <w:t>But, t</w:t>
      </w:r>
      <w:r w:rsidR="007653FA" w:rsidRPr="009E4FC1">
        <w:t>he</w:t>
      </w:r>
      <w:r w:rsidR="003031D3">
        <w:t xml:space="preserve"> regulation provides no guidance </w:t>
      </w:r>
      <w:r w:rsidR="007653FA" w:rsidRPr="009E4FC1">
        <w:t xml:space="preserve">as to what </w:t>
      </w:r>
      <w:r w:rsidR="0009395C">
        <w:t xml:space="preserve">is </w:t>
      </w:r>
      <w:r w:rsidR="007653FA" w:rsidRPr="009E4FC1">
        <w:t>“</w:t>
      </w:r>
      <w:r w:rsidR="0009395C">
        <w:t xml:space="preserve">not </w:t>
      </w:r>
      <w:r w:rsidR="007653FA" w:rsidRPr="009E4FC1">
        <w:t xml:space="preserve">substantial” or </w:t>
      </w:r>
      <w:r w:rsidR="0009395C">
        <w:t xml:space="preserve">considered </w:t>
      </w:r>
      <w:r w:rsidR="007653FA" w:rsidRPr="009E4FC1">
        <w:t>“nominal value,” such that the content of any such exception</w:t>
      </w:r>
      <w:r w:rsidR="003031D3">
        <w:t>s</w:t>
      </w:r>
      <w:r w:rsidR="007653FA" w:rsidRPr="009E4FC1">
        <w:t xml:space="preserve"> is left to the discretion of the </w:t>
      </w:r>
      <w:r w:rsidR="007653FA">
        <w:t xml:space="preserve">non-Federal entity.  </w:t>
      </w:r>
    </w:p>
    <w:p w:rsidR="00373BBC" w:rsidRDefault="007653FA" w:rsidP="00BA0B9A">
      <w:pPr>
        <w:jc w:val="both"/>
        <w:rPr>
          <w:color w:val="000000"/>
        </w:rPr>
      </w:pPr>
      <w:r>
        <w:tab/>
      </w:r>
      <w:r w:rsidR="007707DD">
        <w:rPr>
          <w:color w:val="000000"/>
        </w:rPr>
        <w:t xml:space="preserve"> </w:t>
      </w:r>
    </w:p>
    <w:p w:rsidR="005C24C5" w:rsidRDefault="00373BBC" w:rsidP="00BA0B9A">
      <w:pPr>
        <w:jc w:val="both"/>
      </w:pPr>
      <w:r>
        <w:rPr>
          <w:color w:val="000000"/>
        </w:rPr>
        <w:tab/>
      </w:r>
      <w:r w:rsidR="00C33A9E">
        <w:rPr>
          <w:color w:val="000000"/>
        </w:rPr>
        <w:t>Nonetheless, w</w:t>
      </w:r>
      <w:r w:rsidR="004315D6">
        <w:rPr>
          <w:color w:val="000000"/>
        </w:rPr>
        <w:t xml:space="preserve">e would </w:t>
      </w:r>
      <w:r w:rsidR="00524261">
        <w:rPr>
          <w:color w:val="000000"/>
        </w:rPr>
        <w:t>recommend</w:t>
      </w:r>
      <w:r w:rsidR="004315D6">
        <w:rPr>
          <w:color w:val="000000"/>
        </w:rPr>
        <w:t xml:space="preserve"> that </w:t>
      </w:r>
      <w:r w:rsidR="00C33A9E">
        <w:rPr>
          <w:color w:val="000000"/>
        </w:rPr>
        <w:t xml:space="preserve">a cooperative receiving or anticipating </w:t>
      </w:r>
      <w:r w:rsidR="00D62753">
        <w:rPr>
          <w:color w:val="000000"/>
        </w:rPr>
        <w:t>receipt</w:t>
      </w:r>
      <w:r w:rsidR="00C33A9E">
        <w:rPr>
          <w:color w:val="000000"/>
        </w:rPr>
        <w:t xml:space="preserve"> of federal disaster assistance draft its </w:t>
      </w:r>
      <w:r w:rsidR="004315D6">
        <w:rPr>
          <w:color w:val="000000"/>
        </w:rPr>
        <w:t xml:space="preserve">written standards </w:t>
      </w:r>
      <w:r w:rsidR="007707DD">
        <w:rPr>
          <w:color w:val="000000"/>
        </w:rPr>
        <w:t xml:space="preserve">with an eye toward </w:t>
      </w:r>
      <w:r w:rsidR="004315D6">
        <w:rPr>
          <w:color w:val="000000"/>
        </w:rPr>
        <w:t xml:space="preserve">the </w:t>
      </w:r>
      <w:r w:rsidR="004315D6" w:rsidRPr="00DC5909">
        <w:t xml:space="preserve">Standards of </w:t>
      </w:r>
      <w:r w:rsidR="004315D6">
        <w:t xml:space="preserve">Ethical </w:t>
      </w:r>
      <w:r w:rsidR="004315D6" w:rsidRPr="00DC5909">
        <w:t>Conduct for Employees of the Executive Branch</w:t>
      </w:r>
      <w:r w:rsidR="00482BA5">
        <w:t xml:space="preserve"> </w:t>
      </w:r>
      <w:r w:rsidR="005C24C5">
        <w:t>(the "Federal Standards")</w:t>
      </w:r>
      <w:r w:rsidR="007707DD">
        <w:t>,</w:t>
      </w:r>
      <w:r w:rsidR="005C24C5">
        <w:t xml:space="preserve"> </w:t>
      </w:r>
      <w:r w:rsidR="00482BA5">
        <w:t xml:space="preserve">as FEMA has </w:t>
      </w:r>
      <w:r w:rsidR="006739E3">
        <w:t>indicated</w:t>
      </w:r>
      <w:r w:rsidR="00482BA5">
        <w:t xml:space="preserve"> that it will consider the rules provided </w:t>
      </w:r>
      <w:r w:rsidR="006739E3">
        <w:t>therein</w:t>
      </w:r>
      <w:r w:rsidR="00482BA5">
        <w:t xml:space="preserve"> as </w:t>
      </w:r>
      <w:r w:rsidR="006739E3">
        <w:t>guidelines</w:t>
      </w:r>
      <w:r w:rsidR="00482BA5">
        <w:t xml:space="preserve"> to </w:t>
      </w:r>
      <w:r w:rsidR="006739E3">
        <w:t>evaluate</w:t>
      </w:r>
      <w:r w:rsidR="00482BA5">
        <w:t xml:space="preserve"> a non-Federal entity's standards</w:t>
      </w:r>
      <w:r w:rsidR="004315D6">
        <w:t xml:space="preserve">.  </w:t>
      </w:r>
    </w:p>
    <w:p w:rsidR="005C24C5" w:rsidRDefault="005C24C5" w:rsidP="00BA0B9A">
      <w:pPr>
        <w:jc w:val="both"/>
      </w:pPr>
    </w:p>
    <w:p w:rsidR="006A6725" w:rsidRDefault="005C24C5" w:rsidP="00482BA5">
      <w:pPr>
        <w:jc w:val="both"/>
      </w:pPr>
      <w:r>
        <w:tab/>
      </w:r>
      <w:r w:rsidR="00FB2949">
        <w:t xml:space="preserve">For any cooperatives that do not [yet] have their own internal standards, we recommend that the appropriateness of gifts be reviewed under the Federal Standards and the limitations adhered to as closely as possible until such time as the cooperative can put its own standards into place.  </w:t>
      </w:r>
      <w:r w:rsidR="004315D6">
        <w:t xml:space="preserve">The </w:t>
      </w:r>
      <w:r>
        <w:t xml:space="preserve">Federal </w:t>
      </w:r>
      <w:r w:rsidR="004315D6">
        <w:t xml:space="preserve">Standards are discussed in greater detail below but </w:t>
      </w:r>
      <w:r w:rsidR="006A6725">
        <w:t>indicate that a cooperativ</w:t>
      </w:r>
      <w:r w:rsidR="00482BA5">
        <w:t>e CEO/General Manager should never</w:t>
      </w:r>
      <w:r w:rsidR="006A6725">
        <w:t xml:space="preserve"> </w:t>
      </w:r>
      <w:r w:rsidR="006A6725" w:rsidRPr="006A6725">
        <w:t>solicit</w:t>
      </w:r>
      <w:r w:rsidR="003B3334">
        <w:t>/coerce</w:t>
      </w:r>
      <w:r w:rsidR="006A6725" w:rsidRPr="006A6725">
        <w:t xml:space="preserve"> any gift or </w:t>
      </w:r>
      <w:r w:rsidR="00482BA5">
        <w:t xml:space="preserve">accept any gift that </w:t>
      </w:r>
      <w:r w:rsidR="003B3334">
        <w:t xml:space="preserve">could be interpreted as in exchange for performance of an official act.  Further, a cooperative CEO/General Manager may only accept an unsolicited gift under certain circumstances when the item is </w:t>
      </w:r>
      <w:r w:rsidR="003B3334" w:rsidRPr="006A6725">
        <w:t xml:space="preserve">from a </w:t>
      </w:r>
      <w:r w:rsidR="003B3334">
        <w:t>"</w:t>
      </w:r>
      <w:r w:rsidR="003B3334" w:rsidRPr="006A6725">
        <w:t>prohibited source</w:t>
      </w:r>
      <w:r w:rsidR="003B3334">
        <w:t>"</w:t>
      </w:r>
      <w:r w:rsidR="003B3334" w:rsidRPr="006A6725">
        <w:t xml:space="preserve"> </w:t>
      </w:r>
      <w:r w:rsidR="003B3334">
        <w:t xml:space="preserve">and </w:t>
      </w:r>
      <w:r w:rsidR="006A6725" w:rsidRPr="006A6725">
        <w:t xml:space="preserve">given because of </w:t>
      </w:r>
      <w:r w:rsidR="006A6725">
        <w:t>his/her</w:t>
      </w:r>
      <w:r w:rsidR="006A6725" w:rsidRPr="006A6725">
        <w:t xml:space="preserve"> official position</w:t>
      </w:r>
      <w:r w:rsidR="00482BA5">
        <w:t xml:space="preserve">.  </w:t>
      </w:r>
      <w:r w:rsidR="006A6725" w:rsidRPr="006A6725">
        <w:t xml:space="preserve"> </w:t>
      </w:r>
      <w:r w:rsidR="00E437B7">
        <w:t xml:space="preserve">  </w:t>
      </w:r>
    </w:p>
    <w:p w:rsidR="006A6725" w:rsidRDefault="006A6725" w:rsidP="00005508"/>
    <w:p w:rsidR="00F812A0" w:rsidRDefault="00E437B7" w:rsidP="00482BA5">
      <w:pPr>
        <w:jc w:val="both"/>
        <w:rPr>
          <w:color w:val="000000"/>
        </w:rPr>
      </w:pPr>
      <w:r>
        <w:rPr>
          <w:color w:val="000000"/>
        </w:rPr>
        <w:tab/>
      </w:r>
      <w:r w:rsidR="00E909E5">
        <w:rPr>
          <w:color w:val="000000"/>
        </w:rPr>
        <w:t xml:space="preserve">We </w:t>
      </w:r>
      <w:r w:rsidR="001E7C0C">
        <w:rPr>
          <w:color w:val="000000"/>
        </w:rPr>
        <w:t>provide</w:t>
      </w:r>
      <w:r w:rsidR="00E909E5">
        <w:rPr>
          <w:color w:val="000000"/>
        </w:rPr>
        <w:t xml:space="preserve"> </w:t>
      </w:r>
      <w:r w:rsidR="00AD1F5D">
        <w:rPr>
          <w:color w:val="000000"/>
        </w:rPr>
        <w:t>further discussion of the pertin</w:t>
      </w:r>
      <w:r w:rsidR="006739E3">
        <w:rPr>
          <w:color w:val="000000"/>
        </w:rPr>
        <w:t xml:space="preserve">ent definitions and exceptions </w:t>
      </w:r>
      <w:r w:rsidR="00E909E5">
        <w:rPr>
          <w:color w:val="000000"/>
        </w:rPr>
        <w:t>within the section</w:t>
      </w:r>
      <w:r w:rsidR="00284499">
        <w:rPr>
          <w:color w:val="000000"/>
        </w:rPr>
        <w:t>s</w:t>
      </w:r>
      <w:r w:rsidR="00E909E5">
        <w:rPr>
          <w:color w:val="000000"/>
        </w:rPr>
        <w:t xml:space="preserve"> </w:t>
      </w:r>
      <w:r w:rsidR="001E7C0C">
        <w:rPr>
          <w:color w:val="000000"/>
        </w:rPr>
        <w:t>below</w:t>
      </w:r>
      <w:r w:rsidR="006739E3">
        <w:rPr>
          <w:color w:val="000000"/>
        </w:rPr>
        <w:t xml:space="preserve"> along with our recommendations to address any potential issues created by same</w:t>
      </w:r>
      <w:r w:rsidR="00E909E5">
        <w:rPr>
          <w:color w:val="000000"/>
        </w:rPr>
        <w:t xml:space="preserve">.  </w:t>
      </w:r>
      <w:r w:rsidR="00F20904">
        <w:rPr>
          <w:color w:val="000000"/>
        </w:rPr>
        <w:t>Note</w:t>
      </w:r>
      <w:proofErr w:type="gramStart"/>
      <w:r w:rsidR="00F20904">
        <w:rPr>
          <w:color w:val="000000"/>
        </w:rPr>
        <w:t>,</w:t>
      </w:r>
      <w:proofErr w:type="gramEnd"/>
      <w:r w:rsidR="00F20904">
        <w:rPr>
          <w:color w:val="000000"/>
        </w:rPr>
        <w:t xml:space="preserve"> our </w:t>
      </w:r>
      <w:r w:rsidR="00C208A0">
        <w:rPr>
          <w:color w:val="000000"/>
        </w:rPr>
        <w:t>analysis</w:t>
      </w:r>
      <w:r w:rsidR="00F20904">
        <w:rPr>
          <w:color w:val="000000"/>
        </w:rPr>
        <w:t xml:space="preserve"> focuses on whether NRECA member cooperative personnel may accept </w:t>
      </w:r>
      <w:r w:rsidR="00C208A0">
        <w:rPr>
          <w:color w:val="000000"/>
        </w:rPr>
        <w:t>gratuities</w:t>
      </w:r>
      <w:r w:rsidR="00F20904">
        <w:rPr>
          <w:color w:val="000000"/>
        </w:rPr>
        <w:t xml:space="preserve">/gifts from </w:t>
      </w:r>
      <w:r w:rsidR="00F812A0">
        <w:rPr>
          <w:color w:val="000000"/>
        </w:rPr>
        <w:t xml:space="preserve">a </w:t>
      </w:r>
      <w:r w:rsidR="00F20904">
        <w:rPr>
          <w:color w:val="000000"/>
        </w:rPr>
        <w:t xml:space="preserve">vendor when the vendor is considered a "prohibited source" under the Federal Standards and the cooperative </w:t>
      </w:r>
      <w:r w:rsidR="00C208A0">
        <w:rPr>
          <w:color w:val="000000"/>
        </w:rPr>
        <w:t>anticipates</w:t>
      </w:r>
      <w:r w:rsidR="00F20904">
        <w:rPr>
          <w:color w:val="000000"/>
        </w:rPr>
        <w:t xml:space="preserve"> that </w:t>
      </w:r>
      <w:r w:rsidR="00694C9D">
        <w:rPr>
          <w:color w:val="000000"/>
        </w:rPr>
        <w:t>F</w:t>
      </w:r>
      <w:r w:rsidR="00C208A0">
        <w:rPr>
          <w:color w:val="000000"/>
        </w:rPr>
        <w:t>ederal</w:t>
      </w:r>
      <w:r w:rsidR="00F20904">
        <w:rPr>
          <w:color w:val="000000"/>
        </w:rPr>
        <w:t xml:space="preserve"> </w:t>
      </w:r>
      <w:r w:rsidR="00C208A0">
        <w:rPr>
          <w:color w:val="000000"/>
        </w:rPr>
        <w:t>funding</w:t>
      </w:r>
      <w:r w:rsidR="00F20904">
        <w:rPr>
          <w:color w:val="000000"/>
        </w:rPr>
        <w:t xml:space="preserve">, from FEMA or otherwise, may be requested to cover </w:t>
      </w:r>
      <w:r w:rsidR="00C208A0">
        <w:rPr>
          <w:color w:val="000000"/>
        </w:rPr>
        <w:t>all</w:t>
      </w:r>
      <w:r w:rsidR="00F20904">
        <w:rPr>
          <w:color w:val="000000"/>
        </w:rPr>
        <w:t xml:space="preserve"> or a portion of costs for work </w:t>
      </w:r>
      <w:r w:rsidR="00C208A0">
        <w:rPr>
          <w:color w:val="000000"/>
        </w:rPr>
        <w:t>performed</w:t>
      </w:r>
      <w:r w:rsidR="00F20904">
        <w:rPr>
          <w:color w:val="000000"/>
        </w:rPr>
        <w:t xml:space="preserve"> by the vendor.  </w:t>
      </w:r>
      <w:r w:rsidR="00F812A0">
        <w:rPr>
          <w:color w:val="000000"/>
        </w:rPr>
        <w:t xml:space="preserve">The </w:t>
      </w:r>
      <w:r w:rsidR="00C208A0">
        <w:rPr>
          <w:color w:val="000000"/>
        </w:rPr>
        <w:t>prohibitions</w:t>
      </w:r>
      <w:r w:rsidR="00F812A0">
        <w:rPr>
          <w:color w:val="000000"/>
        </w:rPr>
        <w:t xml:space="preserve"> discussed </w:t>
      </w:r>
      <w:r w:rsidR="00C208A0">
        <w:rPr>
          <w:color w:val="000000"/>
        </w:rPr>
        <w:t>herein</w:t>
      </w:r>
      <w:r w:rsidR="00F812A0">
        <w:rPr>
          <w:color w:val="000000"/>
        </w:rPr>
        <w:t xml:space="preserve"> would not apply in the </w:t>
      </w:r>
      <w:r w:rsidR="00C208A0">
        <w:rPr>
          <w:color w:val="000000"/>
        </w:rPr>
        <w:t>absence</w:t>
      </w:r>
      <w:r w:rsidR="00F812A0">
        <w:rPr>
          <w:color w:val="000000"/>
        </w:rPr>
        <w:t xml:space="preserve"> of Federal funding.  </w:t>
      </w:r>
      <w:r w:rsidR="00ED55A7">
        <w:rPr>
          <w:color w:val="000000"/>
        </w:rPr>
        <w:t>Additionally, t</w:t>
      </w:r>
      <w:r w:rsidR="00C208A0">
        <w:rPr>
          <w:color w:val="000000"/>
        </w:rPr>
        <w:t>he determination as to whether a vendor is a prohibited source should be made at the time the gift is presented</w:t>
      </w:r>
      <w:r w:rsidR="00D34D71">
        <w:rPr>
          <w:color w:val="000000"/>
        </w:rPr>
        <w:t>.  W</w:t>
      </w:r>
      <w:r w:rsidR="00C208A0">
        <w:rPr>
          <w:color w:val="000000"/>
        </w:rPr>
        <w:t>e find no requirement to attempt to make prospective assumptions about wh</w:t>
      </w:r>
      <w:r w:rsidR="00ED55A7">
        <w:rPr>
          <w:color w:val="000000"/>
        </w:rPr>
        <w:t xml:space="preserve">ether an </w:t>
      </w:r>
      <w:r w:rsidR="00C208A0">
        <w:rPr>
          <w:color w:val="000000"/>
        </w:rPr>
        <w:t>entit</w:t>
      </w:r>
      <w:r w:rsidR="00ED55A7">
        <w:rPr>
          <w:color w:val="000000"/>
        </w:rPr>
        <w:t>y</w:t>
      </w:r>
      <w:r w:rsidR="00C208A0">
        <w:rPr>
          <w:color w:val="000000"/>
        </w:rPr>
        <w:t xml:space="preserve"> may later become prohibited, or to disqualify vendors from opportunities </w:t>
      </w:r>
      <w:r w:rsidR="00ED55A7">
        <w:rPr>
          <w:color w:val="000000"/>
        </w:rPr>
        <w:t>solely based on items properly accepted from the vendor in the past</w:t>
      </w:r>
      <w:r w:rsidR="00D34D71">
        <w:rPr>
          <w:color w:val="000000"/>
        </w:rPr>
        <w:t xml:space="preserve"> as long as the circumstances would not otherwise indicate a conflict of interest as per the vendor and the cooperative</w:t>
      </w:r>
      <w:r w:rsidR="00C208A0">
        <w:rPr>
          <w:color w:val="000000"/>
        </w:rPr>
        <w:t xml:space="preserve">.  </w:t>
      </w:r>
      <w:r w:rsidR="00F20904">
        <w:rPr>
          <w:color w:val="000000"/>
        </w:rPr>
        <w:t xml:space="preserve">  </w:t>
      </w:r>
    </w:p>
    <w:p w:rsidR="003B4FC6" w:rsidRDefault="00F812A0" w:rsidP="00482BA5">
      <w:pPr>
        <w:jc w:val="both"/>
        <w:rPr>
          <w:color w:val="000000"/>
        </w:rPr>
      </w:pPr>
      <w:r>
        <w:rPr>
          <w:color w:val="000000"/>
        </w:rPr>
        <w:tab/>
      </w:r>
    </w:p>
    <w:p w:rsidR="00F84C94" w:rsidRDefault="00445C96" w:rsidP="00BA0B9A">
      <w:pPr>
        <w:pStyle w:val="Heading2"/>
      </w:pPr>
      <w:r>
        <w:t xml:space="preserve">Guidance </w:t>
      </w:r>
      <w:r w:rsidRPr="00486973">
        <w:t>Regarding</w:t>
      </w:r>
      <w:r>
        <w:t xml:space="preserve"> </w:t>
      </w:r>
      <w:r w:rsidR="0002648D">
        <w:t xml:space="preserve">Non-Federal Entity </w:t>
      </w:r>
      <w:r>
        <w:t xml:space="preserve">Acceptance of </w:t>
      </w:r>
      <w:r w:rsidR="00E73F76">
        <w:t>Gratuities</w:t>
      </w:r>
      <w:r w:rsidR="0002648D">
        <w:t xml:space="preserve"> from Current/Potential Vendors</w:t>
      </w:r>
    </w:p>
    <w:p w:rsidR="00B36B78" w:rsidRDefault="00486973" w:rsidP="006739E3">
      <w:pPr>
        <w:jc w:val="both"/>
      </w:pPr>
      <w:r>
        <w:rPr>
          <w:color w:val="000000"/>
        </w:rPr>
        <w:tab/>
      </w:r>
      <w:r w:rsidR="00DC5909">
        <w:t xml:space="preserve"> </w:t>
      </w:r>
      <w:r w:rsidR="00B36B78">
        <w:t xml:space="preserve">The Super Circular </w:t>
      </w:r>
      <w:r w:rsidR="006739E3">
        <w:t>provides</w:t>
      </w:r>
      <w:r w:rsidR="00B36B78">
        <w:t xml:space="preserve"> the following with respect to s</w:t>
      </w:r>
      <w:r w:rsidR="00DE0ACE">
        <w:t>tandards of conduct and gifting:</w:t>
      </w:r>
    </w:p>
    <w:p w:rsidR="00B36B78" w:rsidRDefault="00B36B78" w:rsidP="006739E3">
      <w:pPr>
        <w:ind w:left="720" w:hanging="720"/>
        <w:jc w:val="both"/>
      </w:pPr>
    </w:p>
    <w:p w:rsidR="00B36B78" w:rsidRPr="00B36B78" w:rsidRDefault="00B36B78" w:rsidP="006739E3">
      <w:pPr>
        <w:ind w:left="720"/>
        <w:jc w:val="both"/>
      </w:pPr>
      <w:r w:rsidRPr="00B36B78">
        <w:t xml:space="preserve">The non-Federal entity must maintain written standards of conduct covering conflicts of interest and governing the performance of its employees engaged in the selection, award and administration of contracts. No employee, officer, or agent must participate in the selection, award, or administration of a contract supported by a Federal award if he or she has a real or apparent conflict of interest. Such a conflict of interest would arise when the employee, officer, </w:t>
      </w:r>
      <w:r w:rsidRPr="00B36B78">
        <w:lastRenderedPageBreak/>
        <w:t xml:space="preserve">or agent, any member of his or her immediate family, his or her partner, or an organization which employs or is about to employ any of the parties indicated herein, has a financial or other interest in or a tangible personal benefit from a firm considered for a contract. </w:t>
      </w:r>
      <w:r w:rsidRPr="00BA0B9A">
        <w:rPr>
          <w:b/>
        </w:rPr>
        <w:t>The officers, employees, and agents of the non-Federal entity must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r>
        <w:rPr>
          <w:rStyle w:val="FootnoteReference"/>
        </w:rPr>
        <w:footnoteReference w:id="9"/>
      </w:r>
      <w:r>
        <w:t xml:space="preserve"> </w:t>
      </w:r>
    </w:p>
    <w:p w:rsidR="00B36B78" w:rsidRDefault="00B36B78" w:rsidP="006739E3">
      <w:pPr>
        <w:jc w:val="both"/>
      </w:pPr>
    </w:p>
    <w:p w:rsidR="002A6245" w:rsidRDefault="00BA0B9A" w:rsidP="006739E3">
      <w:pPr>
        <w:jc w:val="both"/>
      </w:pPr>
      <w:r>
        <w:tab/>
        <w:t>Notw</w:t>
      </w:r>
      <w:r w:rsidR="0071092D">
        <w:t>ithstanding that the regulation</w:t>
      </w:r>
      <w:r>
        <w:t xml:space="preserve"> technically leave</w:t>
      </w:r>
      <w:r w:rsidR="0071092D">
        <w:t>s</w:t>
      </w:r>
      <w:r>
        <w:t xml:space="preserve"> further definition of prohibited gratuities to the </w:t>
      </w:r>
      <w:r w:rsidR="00700683">
        <w:t xml:space="preserve">electric cooperatives as </w:t>
      </w:r>
      <w:r>
        <w:t xml:space="preserve">non-Federal entities, FEMA indicates in its Procurement Disaster Assistance Team ("PDAT") Field Manual that </w:t>
      </w:r>
      <w:r w:rsidRPr="00DC5909">
        <w:t xml:space="preserve">the Standards of </w:t>
      </w:r>
      <w:r>
        <w:t xml:space="preserve">Ethical </w:t>
      </w:r>
      <w:r w:rsidRPr="00DC5909">
        <w:t>Conduct for Employees of the Executive Branch</w:t>
      </w:r>
      <w:r>
        <w:t xml:space="preserve"> (</w:t>
      </w:r>
      <w:r w:rsidR="00DE0ACE">
        <w:t xml:space="preserve">the </w:t>
      </w:r>
      <w:r>
        <w:t>"</w:t>
      </w:r>
      <w:r w:rsidR="00DE0ACE">
        <w:t xml:space="preserve">Federal </w:t>
      </w:r>
      <w:r>
        <w:t>Standards")</w:t>
      </w:r>
      <w:r w:rsidRPr="00DC5909">
        <w:t xml:space="preserve"> </w:t>
      </w:r>
      <w:r w:rsidR="00700683">
        <w:t>will be</w:t>
      </w:r>
      <w:r>
        <w:t xml:space="preserve"> considered </w:t>
      </w:r>
      <w:r w:rsidRPr="00DC5909">
        <w:t xml:space="preserve">a </w:t>
      </w:r>
      <w:r>
        <w:t>"</w:t>
      </w:r>
      <w:r w:rsidRPr="00DC5909">
        <w:t>useful guide</w:t>
      </w:r>
      <w:r>
        <w:t>"</w:t>
      </w:r>
      <w:r w:rsidRPr="00DC5909">
        <w:t xml:space="preserve"> in analyzing exceptions</w:t>
      </w:r>
      <w:r w:rsidRPr="009E4FC1">
        <w:t>.</w:t>
      </w:r>
      <w:r>
        <w:rPr>
          <w:rStyle w:val="FootnoteReference"/>
        </w:rPr>
        <w:footnoteReference w:id="10"/>
      </w:r>
      <w:r>
        <w:t xml:space="preserve">  </w:t>
      </w:r>
      <w:r w:rsidR="000064CD">
        <w:t>Specifically</w:t>
      </w:r>
      <w:r>
        <w:t>, regulations at 5 C.F.R. Part 2635, Subpart B-Gifts from Outside Sources,</w:t>
      </w:r>
      <w:r>
        <w:rPr>
          <w:rStyle w:val="FootnoteReference"/>
        </w:rPr>
        <w:footnoteReference w:id="11"/>
      </w:r>
      <w:r w:rsidR="00090FA2">
        <w:t xml:space="preserve"> </w:t>
      </w:r>
      <w:r>
        <w:t xml:space="preserve">provide information regarding how items provided by vendors to cooperative CEOs/General Managers may be viewed by FEMA. </w:t>
      </w:r>
      <w:r w:rsidR="0071092D">
        <w:t xml:space="preserve"> </w:t>
      </w:r>
    </w:p>
    <w:p w:rsidR="002A6245" w:rsidRDefault="002A6245" w:rsidP="006739E3">
      <w:pPr>
        <w:jc w:val="both"/>
      </w:pPr>
    </w:p>
    <w:p w:rsidR="002A6245" w:rsidRDefault="002A6245" w:rsidP="002A6245">
      <w:pPr>
        <w:pStyle w:val="Heading2"/>
      </w:pPr>
      <w:r w:rsidRPr="00DC5909">
        <w:t xml:space="preserve">Standards of </w:t>
      </w:r>
      <w:r>
        <w:t xml:space="preserve">Ethical </w:t>
      </w:r>
      <w:r w:rsidRPr="00DC5909">
        <w:t>Conduct for Employees of the Executive Branch</w:t>
      </w:r>
    </w:p>
    <w:p w:rsidR="00090FA2" w:rsidRDefault="00B925A5" w:rsidP="006739E3">
      <w:pPr>
        <w:jc w:val="both"/>
      </w:pPr>
      <w:r>
        <w:t>Pursuant to § 2635.202, General standards:</w:t>
      </w:r>
    </w:p>
    <w:p w:rsidR="00B925A5" w:rsidRDefault="00B925A5" w:rsidP="006739E3">
      <w:pPr>
        <w:jc w:val="both"/>
      </w:pPr>
    </w:p>
    <w:p w:rsidR="00B925A5" w:rsidRDefault="00B925A5" w:rsidP="006739E3">
      <w:pPr>
        <w:ind w:left="720"/>
        <w:jc w:val="both"/>
      </w:pPr>
      <w:r>
        <w:t>(a) General prohibitions. Except as provided in this subpart, an employee shall not, directly or indirectly, solicit or accept a gift:</w:t>
      </w:r>
    </w:p>
    <w:p w:rsidR="00B925A5" w:rsidRDefault="00B925A5" w:rsidP="006739E3">
      <w:pPr>
        <w:ind w:left="1440"/>
        <w:jc w:val="both"/>
      </w:pPr>
      <w:r>
        <w:t xml:space="preserve">(1) From a prohibited source; </w:t>
      </w:r>
      <w:r w:rsidRPr="0032049C">
        <w:rPr>
          <w:b/>
        </w:rPr>
        <w:t>or</w:t>
      </w:r>
    </w:p>
    <w:p w:rsidR="00B925A5" w:rsidRDefault="00B925A5" w:rsidP="006739E3">
      <w:pPr>
        <w:ind w:left="1440"/>
        <w:jc w:val="both"/>
      </w:pPr>
      <w:r>
        <w:t>(2) Given because of the employee's official position.</w:t>
      </w:r>
      <w:r w:rsidR="0071092D">
        <w:rPr>
          <w:rStyle w:val="FootnoteReference"/>
        </w:rPr>
        <w:footnoteReference w:id="12"/>
      </w:r>
    </w:p>
    <w:p w:rsidR="00B925A5" w:rsidRDefault="00B925A5" w:rsidP="006739E3">
      <w:pPr>
        <w:ind w:left="1440"/>
        <w:jc w:val="both"/>
      </w:pPr>
    </w:p>
    <w:p w:rsidR="0071092D" w:rsidRDefault="00B925A5">
      <w:pPr>
        <w:jc w:val="both"/>
      </w:pPr>
      <w:r>
        <w:tab/>
        <w:t>A "gift" is defined as "</w:t>
      </w:r>
      <w:r w:rsidRPr="00B925A5">
        <w:t>any gratuity, favor, discount, entertainment, hospitality, loan, forbearance, or other item having monetary value.</w:t>
      </w:r>
      <w:r>
        <w:t>"</w:t>
      </w:r>
      <w:r w:rsidR="00BF6AEC">
        <w:rPr>
          <w:rStyle w:val="FootnoteReference"/>
        </w:rPr>
        <w:footnoteReference w:id="13"/>
      </w:r>
      <w:r>
        <w:t xml:space="preserve">   </w:t>
      </w:r>
      <w:r w:rsidRPr="00B925A5">
        <w:t xml:space="preserve">It includes </w:t>
      </w:r>
      <w:r>
        <w:t>"</w:t>
      </w:r>
      <w:r w:rsidRPr="00B925A5">
        <w:t>services as well as gifts of training, transportation, local travel, lodgings and meals, whether provided in-kind, by purchase of a ticket, payment in advance, or reimbursement afte</w:t>
      </w:r>
      <w:r w:rsidR="00BF6AEC">
        <w:t>r the expense has been incurred"</w:t>
      </w:r>
      <w:r w:rsidR="00BF6AEC">
        <w:rPr>
          <w:rStyle w:val="FootnoteReference"/>
        </w:rPr>
        <w:footnoteReference w:id="14"/>
      </w:r>
      <w:r w:rsidR="00BF6AEC">
        <w:t xml:space="preserve"> </w:t>
      </w:r>
      <w:r w:rsidR="00B21592">
        <w:t>but does not include:</w:t>
      </w:r>
    </w:p>
    <w:p w:rsidR="00D34D71" w:rsidRDefault="00D34D71">
      <w:pPr>
        <w:jc w:val="both"/>
      </w:pPr>
    </w:p>
    <w:p w:rsidR="00B21592" w:rsidRPr="00BF6AEC" w:rsidRDefault="00B21592">
      <w:pPr>
        <w:spacing w:after="120"/>
        <w:ind w:left="720"/>
        <w:jc w:val="both"/>
      </w:pPr>
      <w:r w:rsidRPr="00BF6AEC">
        <w:t>(1) Modest items of food and refreshments, such as soft drinks, coffee and donuts, offered other than as part of a meal;</w:t>
      </w:r>
    </w:p>
    <w:p w:rsidR="00B21592" w:rsidRPr="00BF6AEC" w:rsidRDefault="00B21592">
      <w:pPr>
        <w:spacing w:after="120"/>
        <w:ind w:left="720"/>
        <w:jc w:val="both"/>
      </w:pPr>
      <w:r w:rsidRPr="00BF6AEC">
        <w:lastRenderedPageBreak/>
        <w:t>(2) Greeting cards and items with little intrinsic value, such as plaques, certificates, and trophies, which are intended solely for presentation;</w:t>
      </w:r>
    </w:p>
    <w:p w:rsidR="00B21592" w:rsidRPr="00BF6AEC" w:rsidRDefault="00B21592">
      <w:pPr>
        <w:spacing w:after="120"/>
        <w:ind w:left="720"/>
        <w:jc w:val="both"/>
      </w:pPr>
      <w:r w:rsidRPr="00BF6AEC">
        <w:t>(3) Loans from banks and other financial institutions on terms generally available to the public;</w:t>
      </w:r>
    </w:p>
    <w:p w:rsidR="00B21592" w:rsidRPr="00BF6AEC" w:rsidRDefault="00B21592">
      <w:pPr>
        <w:spacing w:after="120"/>
        <w:ind w:left="720"/>
        <w:jc w:val="both"/>
      </w:pPr>
      <w:r w:rsidRPr="00BF6AEC">
        <w:t xml:space="preserve">(4) Opportunities and benefits, including favorable rates and commercial discounts, available to the public or to a class consisting of all Government employees or all uniformed military </w:t>
      </w:r>
      <w:r>
        <w:t>p</w:t>
      </w:r>
      <w:r w:rsidRPr="00BF6AEC">
        <w:t>ersonnel, whether or not restricted on the basis of geographic considerations;</w:t>
      </w:r>
    </w:p>
    <w:p w:rsidR="00B21592" w:rsidRPr="00BF6AEC" w:rsidRDefault="00B21592">
      <w:pPr>
        <w:spacing w:after="120"/>
        <w:ind w:left="720"/>
        <w:jc w:val="both"/>
      </w:pPr>
      <w:r w:rsidRPr="007B0A9C">
        <w:t>(5) Rewards and prizes given to competitors in contests or events, including random drawings, open to the public unless the employee's entry into the contest or event is required as part of his official duties;</w:t>
      </w:r>
    </w:p>
    <w:p w:rsidR="00B21592" w:rsidRPr="00BF6AEC" w:rsidRDefault="00B21592">
      <w:pPr>
        <w:spacing w:after="120"/>
        <w:ind w:left="720"/>
        <w:jc w:val="both"/>
      </w:pPr>
      <w:r w:rsidRPr="00BF6AEC">
        <w:t>(6) Pension and other benefits resulting from continued participation in an employee welfare and benefits plan maintained by a former employer;</w:t>
      </w:r>
    </w:p>
    <w:p w:rsidR="00B21592" w:rsidRPr="00BF6AEC" w:rsidRDefault="00B21592">
      <w:pPr>
        <w:spacing w:after="120"/>
        <w:ind w:left="720"/>
        <w:jc w:val="both"/>
      </w:pPr>
      <w:r w:rsidRPr="00BF6AEC">
        <w:t>(7) Anything which is paid for by the Government or secured by the Government under Government contract;</w:t>
      </w:r>
    </w:p>
    <w:p w:rsidR="00B21592" w:rsidRPr="00BF6AEC" w:rsidRDefault="00B21592">
      <w:pPr>
        <w:spacing w:after="120"/>
        <w:ind w:left="720"/>
        <w:jc w:val="both"/>
      </w:pPr>
      <w:r w:rsidRPr="00BF6AEC">
        <w:t>(8) Any gift accepted by the Government under specific statutory authority</w:t>
      </w:r>
      <w:r w:rsidR="007B0A9C">
        <w:t>….</w:t>
      </w:r>
      <w:r w:rsidRPr="00BF6AEC">
        <w:t>; or</w:t>
      </w:r>
    </w:p>
    <w:p w:rsidR="00B21592" w:rsidRPr="00BF6AEC" w:rsidRDefault="00B21592" w:rsidP="00C00A64">
      <w:pPr>
        <w:spacing w:after="120"/>
        <w:ind w:left="720"/>
        <w:jc w:val="both"/>
      </w:pPr>
      <w:r w:rsidRPr="00BF6AEC">
        <w:t>(9) Anything for which market value is paid by the employee.</w:t>
      </w:r>
      <w:r>
        <w:rPr>
          <w:rStyle w:val="FootnoteReference"/>
        </w:rPr>
        <w:footnoteReference w:id="15"/>
      </w:r>
    </w:p>
    <w:p w:rsidR="00B21592" w:rsidRDefault="00B21592" w:rsidP="006739E3">
      <w:pPr>
        <w:jc w:val="both"/>
      </w:pPr>
    </w:p>
    <w:p w:rsidR="000B60DF" w:rsidRPr="00FA32D5" w:rsidRDefault="00B21592" w:rsidP="006331DD">
      <w:r>
        <w:tab/>
      </w:r>
      <w:r w:rsidR="000B60DF" w:rsidRPr="00FA32D5">
        <w:t xml:space="preserve">A gift is solicited or accepted </w:t>
      </w:r>
      <w:r w:rsidR="000B60DF">
        <w:t>"</w:t>
      </w:r>
      <w:r w:rsidR="000B60DF" w:rsidRPr="00FA32D5">
        <w:t>because of the employee's official position</w:t>
      </w:r>
      <w:r w:rsidR="000B60DF">
        <w:t>"</w:t>
      </w:r>
      <w:r w:rsidR="000B60DF" w:rsidRPr="00FA32D5">
        <w:t xml:space="preserve"> if it is from a person other than an</w:t>
      </w:r>
      <w:r w:rsidR="000B60DF">
        <w:t>other</w:t>
      </w:r>
      <w:r w:rsidR="000B60DF" w:rsidRPr="00FA32D5">
        <w:t xml:space="preserve"> employee and would not have been solicited, offered, or given had the employee not held the status, authority or duties associated with his</w:t>
      </w:r>
      <w:r w:rsidR="000B60DF">
        <w:t>/her</w:t>
      </w:r>
      <w:r w:rsidR="000B60DF" w:rsidRPr="00FA32D5">
        <w:t xml:space="preserve"> position.</w:t>
      </w:r>
      <w:r w:rsidR="000B60DF">
        <w:rPr>
          <w:rStyle w:val="FootnoteReference"/>
        </w:rPr>
        <w:footnoteReference w:id="16"/>
      </w:r>
      <w:r w:rsidR="0032049C">
        <w:t xml:space="preserve">  </w:t>
      </w:r>
      <w:r w:rsidR="006331DD" w:rsidRPr="006331DD">
        <w:t xml:space="preserve">A gift which is solicited or accepted </w:t>
      </w:r>
      <w:r w:rsidR="006331DD">
        <w:t>"</w:t>
      </w:r>
      <w:r w:rsidR="006331DD" w:rsidRPr="006331DD">
        <w:t>indirectly</w:t>
      </w:r>
      <w:r w:rsidR="006331DD">
        <w:t>"</w:t>
      </w:r>
      <w:r w:rsidR="006331DD" w:rsidRPr="006331DD">
        <w:t xml:space="preserve"> includes </w:t>
      </w:r>
      <w:r w:rsidR="006331DD">
        <w:t>one g</w:t>
      </w:r>
      <w:r w:rsidR="006331DD" w:rsidRPr="006331DD">
        <w:t xml:space="preserve">iven with the </w:t>
      </w:r>
      <w:r w:rsidR="006331DD">
        <w:t xml:space="preserve">cooperative </w:t>
      </w:r>
      <w:r w:rsidR="006331DD" w:rsidRPr="006331DD">
        <w:t>employee's knowledge to his</w:t>
      </w:r>
      <w:r w:rsidR="006331DD">
        <w:t>/her</w:t>
      </w:r>
      <w:r w:rsidR="006331DD" w:rsidRPr="006331DD">
        <w:t xml:space="preserve"> parent, sibling, spouse, child, or dependent relative because of that person's relationship to the employee, or</w:t>
      </w:r>
      <w:r w:rsidR="006331DD">
        <w:t xml:space="preserve"> g</w:t>
      </w:r>
      <w:r w:rsidR="006331DD" w:rsidRPr="006331DD">
        <w:t xml:space="preserve">iven to any other person, including any charitable organization, on the basis of designation, recommendation, or other specification by the </w:t>
      </w:r>
      <w:r w:rsidR="006331DD">
        <w:t xml:space="preserve">cooperative </w:t>
      </w:r>
      <w:r w:rsidR="006331DD" w:rsidRPr="006331DD">
        <w:t>employee</w:t>
      </w:r>
      <w:r w:rsidR="006331DD">
        <w:t>.</w:t>
      </w:r>
      <w:r w:rsidR="006331DD">
        <w:rPr>
          <w:rStyle w:val="FootnoteReference"/>
        </w:rPr>
        <w:footnoteReference w:id="17"/>
      </w:r>
    </w:p>
    <w:p w:rsidR="000B60DF" w:rsidRDefault="000B60DF" w:rsidP="006739E3">
      <w:pPr>
        <w:jc w:val="both"/>
      </w:pPr>
    </w:p>
    <w:p w:rsidR="0071092D" w:rsidRDefault="000B60DF" w:rsidP="0071092D">
      <w:pPr>
        <w:jc w:val="both"/>
      </w:pPr>
      <w:r>
        <w:tab/>
      </w:r>
      <w:r w:rsidR="0071092D">
        <w:t xml:space="preserve">A "prohibited source" is defined as </w:t>
      </w:r>
      <w:r w:rsidR="0071092D" w:rsidRPr="00FA32D5">
        <w:t>any person who:</w:t>
      </w:r>
    </w:p>
    <w:p w:rsidR="0071092D" w:rsidRPr="00FA32D5" w:rsidRDefault="0071092D" w:rsidP="0071092D">
      <w:pPr>
        <w:jc w:val="both"/>
      </w:pPr>
    </w:p>
    <w:p w:rsidR="0071092D" w:rsidRPr="00FA32D5" w:rsidRDefault="0071092D" w:rsidP="0071092D">
      <w:pPr>
        <w:spacing w:after="120"/>
        <w:ind w:left="720"/>
        <w:jc w:val="both"/>
      </w:pPr>
      <w:r w:rsidRPr="00FA32D5">
        <w:t>(1) Is seeking official action by the employee's agency;</w:t>
      </w:r>
    </w:p>
    <w:p w:rsidR="0071092D" w:rsidRPr="00FA32D5" w:rsidRDefault="0071092D" w:rsidP="0071092D">
      <w:pPr>
        <w:spacing w:after="120"/>
        <w:ind w:left="720"/>
        <w:jc w:val="both"/>
      </w:pPr>
      <w:r w:rsidRPr="00FA32D5">
        <w:t>(2) Does business or seeks to do business with the employee's agency;</w:t>
      </w:r>
    </w:p>
    <w:p w:rsidR="0071092D" w:rsidRPr="00FA32D5" w:rsidRDefault="0071092D" w:rsidP="0071092D">
      <w:pPr>
        <w:spacing w:after="120"/>
        <w:ind w:left="720"/>
        <w:jc w:val="both"/>
      </w:pPr>
      <w:r w:rsidRPr="00FA32D5">
        <w:t>(3) Conducts activities regulated by the employee's agency;</w:t>
      </w:r>
    </w:p>
    <w:p w:rsidR="0071092D" w:rsidRPr="00FA32D5" w:rsidRDefault="0071092D" w:rsidP="0071092D">
      <w:pPr>
        <w:spacing w:after="120"/>
        <w:ind w:left="720"/>
        <w:jc w:val="both"/>
      </w:pPr>
      <w:r w:rsidRPr="00FA32D5">
        <w:t>(4) Has interests that may be substantially affected by performance or nonperformance of the employee's official duties; or</w:t>
      </w:r>
    </w:p>
    <w:p w:rsidR="0071092D" w:rsidRDefault="0071092D" w:rsidP="00A461B8">
      <w:pPr>
        <w:spacing w:after="240"/>
        <w:ind w:left="720"/>
        <w:jc w:val="both"/>
      </w:pPr>
      <w:r w:rsidRPr="00FA32D5">
        <w:t>(5) Is an organization a majority of whose members are described in paragraphs (d</w:t>
      </w:r>
      <w:proofErr w:type="gramStart"/>
      <w:r w:rsidRPr="00FA32D5">
        <w:t>)(</w:t>
      </w:r>
      <w:proofErr w:type="gramEnd"/>
      <w:r w:rsidRPr="00FA32D5">
        <w:t>1) through (4) of this section.</w:t>
      </w:r>
      <w:r>
        <w:rPr>
          <w:rStyle w:val="FootnoteReference"/>
        </w:rPr>
        <w:footnoteReference w:id="18"/>
      </w:r>
    </w:p>
    <w:p w:rsidR="0032049C" w:rsidRDefault="00B21592" w:rsidP="000B60DF">
      <w:pPr>
        <w:jc w:val="both"/>
      </w:pPr>
      <w:r>
        <w:lastRenderedPageBreak/>
        <w:tab/>
      </w:r>
      <w:r w:rsidR="00130E9E">
        <w:t>C</w:t>
      </w:r>
      <w:r w:rsidR="003430B6">
        <w:t>ontractors who work primarily in the utility and/or disaster recovery arena</w:t>
      </w:r>
      <w:r w:rsidR="00130E9E">
        <w:t xml:space="preserve"> - such as debris removal, vegetative maintenance, and power restoration contractors - </w:t>
      </w:r>
      <w:r w:rsidR="003430B6">
        <w:t xml:space="preserve">and who are current or potential contractors for the member cooperatives would likely fall into at least one of the </w:t>
      </w:r>
      <w:r w:rsidR="00FB2949">
        <w:t>categories</w:t>
      </w:r>
      <w:r w:rsidR="003430B6">
        <w:t xml:space="preserve"> </w:t>
      </w:r>
      <w:r w:rsidR="00FB2949">
        <w:t>under</w:t>
      </w:r>
      <w:r w:rsidR="003430B6">
        <w:t xml:space="preserve"> the </w:t>
      </w:r>
      <w:r w:rsidR="00FB2949">
        <w:t>definition</w:t>
      </w:r>
      <w:r w:rsidR="003430B6">
        <w:t xml:space="preserve"> and be considered a "</w:t>
      </w:r>
      <w:r w:rsidR="00FB2949">
        <w:t>prohibited</w:t>
      </w:r>
      <w:r w:rsidR="003430B6">
        <w:t xml:space="preserve"> source."</w:t>
      </w:r>
      <w:r w:rsidR="00130E9E">
        <w:rPr>
          <w:rStyle w:val="FootnoteReference"/>
        </w:rPr>
        <w:footnoteReference w:id="19"/>
      </w:r>
      <w:r w:rsidR="003430B6">
        <w:t xml:space="preserve"> </w:t>
      </w:r>
      <w:r w:rsidR="007B0A9C">
        <w:t xml:space="preserve"> Anything gifted to cooperative personnel by one of these contractors will </w:t>
      </w:r>
      <w:r w:rsidR="00FB2949">
        <w:t>likely</w:t>
      </w:r>
      <w:r w:rsidR="007B0A9C">
        <w:t xml:space="preserve"> be assumed given because of </w:t>
      </w:r>
      <w:r w:rsidR="009F6270">
        <w:t xml:space="preserve">his/her position.  </w:t>
      </w:r>
      <w:r w:rsidR="007B0A9C">
        <w:t>Th</w:t>
      </w:r>
      <w:r w:rsidR="009F6270">
        <w:t xml:space="preserve">e broad </w:t>
      </w:r>
      <w:r w:rsidR="00FB2949">
        <w:t>definition</w:t>
      </w:r>
      <w:r w:rsidR="009F6270">
        <w:t xml:space="preserve"> of a "gift" </w:t>
      </w:r>
      <w:r w:rsidR="00700683">
        <w:t xml:space="preserve">therefore </w:t>
      </w:r>
      <w:r w:rsidR="007B0A9C">
        <w:t xml:space="preserve">means </w:t>
      </w:r>
      <w:r w:rsidR="009F6270">
        <w:t xml:space="preserve">virtually </w:t>
      </w:r>
      <w:r w:rsidR="007B0A9C">
        <w:t xml:space="preserve">anything given directly by these contractors to member </w:t>
      </w:r>
      <w:r w:rsidR="00FB2949">
        <w:t>cooperative</w:t>
      </w:r>
      <w:r w:rsidR="00B543F2">
        <w:t xml:space="preserve"> personnel</w:t>
      </w:r>
      <w:r w:rsidR="007B0A9C">
        <w:t xml:space="preserve"> would </w:t>
      </w:r>
      <w:r w:rsidR="00C114C7">
        <w:t xml:space="preserve">potentially </w:t>
      </w:r>
      <w:r w:rsidR="007B0A9C">
        <w:t>be consider</w:t>
      </w:r>
      <w:r w:rsidR="009F6270">
        <w:t>ed</w:t>
      </w:r>
      <w:r w:rsidR="007B0A9C">
        <w:t xml:space="preserve"> an improper gift if not excluded by the above </w:t>
      </w:r>
      <w:r w:rsidR="009F6270">
        <w:t xml:space="preserve">(most </w:t>
      </w:r>
      <w:r w:rsidR="00FB2949">
        <w:t>likely</w:t>
      </w:r>
      <w:r w:rsidR="009F6270">
        <w:t xml:space="preserve"> </w:t>
      </w:r>
      <w:r w:rsidR="00A461B8">
        <w:t xml:space="preserve">to be applicable </w:t>
      </w:r>
      <w:r w:rsidR="009F6270">
        <w:t xml:space="preserve">would be food/refreshments, items for </w:t>
      </w:r>
      <w:r w:rsidR="00FB2949">
        <w:t>presentation</w:t>
      </w:r>
      <w:r w:rsidR="009F6270">
        <w:t xml:space="preserve">, or public prizes) </w:t>
      </w:r>
      <w:r w:rsidR="007B0A9C">
        <w:t xml:space="preserve">or covered by </w:t>
      </w:r>
      <w:r w:rsidR="003078B0">
        <w:t>an exception</w:t>
      </w:r>
      <w:r w:rsidR="007B0A9C">
        <w:t>.</w:t>
      </w:r>
      <w:r w:rsidR="003078B0">
        <w:t xml:space="preserve">  </w:t>
      </w:r>
    </w:p>
    <w:p w:rsidR="0032049C" w:rsidRDefault="0032049C" w:rsidP="000B60DF">
      <w:pPr>
        <w:jc w:val="both"/>
      </w:pPr>
    </w:p>
    <w:p w:rsidR="0032049C" w:rsidRDefault="0032049C" w:rsidP="0032049C">
      <w:pPr>
        <w:pStyle w:val="Heading2"/>
      </w:pPr>
      <w:r>
        <w:t>Exceptions within the Federal Standards</w:t>
      </w:r>
    </w:p>
    <w:p w:rsidR="0071092D" w:rsidRDefault="003078B0" w:rsidP="000B60DF">
      <w:pPr>
        <w:jc w:val="both"/>
      </w:pPr>
      <w:r>
        <w:t xml:space="preserve">Exceptions that would most commonly apply are </w:t>
      </w:r>
      <w:r w:rsidR="00FB2949">
        <w:t>discussed</w:t>
      </w:r>
      <w:r>
        <w:t xml:space="preserve"> below:</w:t>
      </w:r>
      <w:r w:rsidR="007B0A9C">
        <w:t xml:space="preserve">  </w:t>
      </w:r>
    </w:p>
    <w:p w:rsidR="0071092D" w:rsidRPr="00FA32D5" w:rsidRDefault="0071092D" w:rsidP="0071092D">
      <w:pPr>
        <w:ind w:left="720"/>
        <w:jc w:val="both"/>
      </w:pPr>
    </w:p>
    <w:p w:rsidR="0071092D" w:rsidRDefault="00611FFC" w:rsidP="009F6270">
      <w:pPr>
        <w:pStyle w:val="Heading4"/>
      </w:pPr>
      <w:r>
        <w:t>Gifts of $20 or Less</w:t>
      </w:r>
      <w:r w:rsidR="001956B5">
        <w:t xml:space="preserve"> (Nominal Value)</w:t>
      </w:r>
    </w:p>
    <w:p w:rsidR="00F75ABD" w:rsidRPr="00F75ABD" w:rsidRDefault="003401E2" w:rsidP="003401E2">
      <w:pPr>
        <w:pStyle w:val="BodyTextFirstIndent"/>
        <w:ind w:left="720" w:firstLine="0"/>
      </w:pPr>
      <w:r>
        <w:t>"</w:t>
      </w:r>
      <w:r w:rsidR="00F75ABD" w:rsidRPr="00F75ABD">
        <w:t xml:space="preserve">An employee may accept </w:t>
      </w:r>
      <w:r w:rsidR="00F75ABD" w:rsidRPr="006421EE">
        <w:rPr>
          <w:b/>
        </w:rPr>
        <w:t>unsolicited</w:t>
      </w:r>
      <w:r w:rsidR="00F75ABD" w:rsidRPr="00F75ABD">
        <w:t xml:space="preserve"> gifts having an aggregate market value of </w:t>
      </w:r>
      <w:r w:rsidR="00F75ABD" w:rsidRPr="006421EE">
        <w:rPr>
          <w:b/>
        </w:rPr>
        <w:t>$20 or less per source per occasion</w:t>
      </w:r>
      <w:r w:rsidR="00F75ABD" w:rsidRPr="00F75ABD">
        <w:t xml:space="preserve">, provided that the aggregate market value of individual gifts received from any one person under the authority of this paragraph shall not exceed </w:t>
      </w:r>
      <w:r w:rsidR="00F75ABD" w:rsidRPr="006421EE">
        <w:rPr>
          <w:b/>
        </w:rPr>
        <w:t>$50 in a calendar year</w:t>
      </w:r>
      <w:r w:rsidR="00F75ABD" w:rsidRPr="00F75ABD">
        <w:t>. This exception does not apply to gifts of cash or of investment interests such as stock, bonds, or certificates of deposit. Where the market value of a gift or the aggregate market value of gifts offered on any single occasion exceeds $20, the employee may not pay the excess value over $20 in order to accept that portion of the gift or those gifts worth $20. Where the aggregate value of tangible items offered on a single occasion exceeds $20, the employee may decline any distinct and separate item in order to accept those items aggregating $20 or less.</w:t>
      </w:r>
      <w:r>
        <w:t>"</w:t>
      </w:r>
      <w:r w:rsidR="00F75ABD">
        <w:rPr>
          <w:rStyle w:val="FootnoteReference"/>
        </w:rPr>
        <w:footnoteReference w:id="20"/>
      </w:r>
    </w:p>
    <w:p w:rsidR="00A601E2" w:rsidRDefault="003401E2" w:rsidP="00611FFC">
      <w:pPr>
        <w:pStyle w:val="BodyTextFirstIndent"/>
      </w:pPr>
      <w:r>
        <w:t xml:space="preserve">This </w:t>
      </w:r>
      <w:r w:rsidR="00FB2949">
        <w:t>exception</w:t>
      </w:r>
      <w:r>
        <w:t xml:space="preserve"> would cover small gifts and meals </w:t>
      </w:r>
      <w:r w:rsidR="00FB2949">
        <w:t>provided</w:t>
      </w:r>
      <w:r>
        <w:t xml:space="preserve"> by a contractor to member cooperative personnel. </w:t>
      </w:r>
      <w:r w:rsidR="003078B0">
        <w:t xml:space="preserve"> </w:t>
      </w:r>
      <w:r w:rsidR="00A601E2">
        <w:t xml:space="preserve">Market value is the cost the recipient would incur to purchase the gift.  An estimate, or comparison to </w:t>
      </w:r>
      <w:r w:rsidR="000064CD">
        <w:t>similar</w:t>
      </w:r>
      <w:r w:rsidR="00A601E2">
        <w:t xml:space="preserve"> item, can be used if the exact market </w:t>
      </w:r>
      <w:r w:rsidR="000064CD">
        <w:t>value</w:t>
      </w:r>
      <w:r w:rsidR="00A601E2">
        <w:t xml:space="preserve"> is unknown.</w:t>
      </w:r>
      <w:r w:rsidR="00A601E2">
        <w:rPr>
          <w:rStyle w:val="FootnoteReference"/>
        </w:rPr>
        <w:footnoteReference w:id="21"/>
      </w:r>
      <w:r w:rsidR="00A601E2">
        <w:t xml:space="preserve">  </w:t>
      </w:r>
      <w:r w:rsidR="003078B0">
        <w:t xml:space="preserve">Tickets are also </w:t>
      </w:r>
      <w:r w:rsidR="00324F13">
        <w:t>often covered by this exception</w:t>
      </w:r>
      <w:r w:rsidR="003078B0">
        <w:t>, the value of which would be the face value</w:t>
      </w:r>
      <w:r w:rsidR="00A601E2">
        <w:t xml:space="preserve"> of the ticket, not the actual worth of the items covered by the ticket</w:t>
      </w:r>
      <w:r w:rsidR="00324F13">
        <w:t xml:space="preserve">. </w:t>
      </w:r>
      <w:r>
        <w:t xml:space="preserve"> </w:t>
      </w:r>
    </w:p>
    <w:p w:rsidR="00756BAD" w:rsidRDefault="00A601E2" w:rsidP="00611FFC">
      <w:pPr>
        <w:pStyle w:val="BodyTextFirstIndent"/>
      </w:pPr>
      <w:r>
        <w:t>A</w:t>
      </w:r>
      <w:r w:rsidR="003401E2">
        <w:t xml:space="preserve"> "person" is de</w:t>
      </w:r>
      <w:r w:rsidR="003078B0">
        <w:t>f</w:t>
      </w:r>
      <w:r w:rsidR="003401E2">
        <w:t>ined to incl</w:t>
      </w:r>
      <w:r w:rsidR="003078B0">
        <w:t>ude</w:t>
      </w:r>
      <w:r w:rsidR="003401E2">
        <w:t xml:space="preserve"> an entity and its officers and employees, so all gifts provided by persons affiliated with any one vendor would need </w:t>
      </w:r>
      <w:r w:rsidR="00FB2949">
        <w:t>to</w:t>
      </w:r>
      <w:r w:rsidR="003401E2">
        <w:t xml:space="preserve"> be </w:t>
      </w:r>
      <w:r w:rsidR="00FB2949">
        <w:t>aggregated</w:t>
      </w:r>
      <w:r w:rsidR="003401E2">
        <w:t xml:space="preserve"> even if given by different persons.  The total amount would be capped at </w:t>
      </w:r>
      <w:r w:rsidR="00756BAD">
        <w:t xml:space="preserve">$20 </w:t>
      </w:r>
      <w:r w:rsidR="00756BAD" w:rsidRPr="00756BAD">
        <w:rPr>
          <w:b/>
        </w:rPr>
        <w:t>per source/per occasion</w:t>
      </w:r>
      <w:r w:rsidR="00756BAD">
        <w:t xml:space="preserve"> and </w:t>
      </w:r>
      <w:r w:rsidR="003401E2">
        <w:t xml:space="preserve">$50 </w:t>
      </w:r>
      <w:r w:rsidR="003401E2" w:rsidRPr="00756BAD">
        <w:rPr>
          <w:b/>
        </w:rPr>
        <w:t>per year</w:t>
      </w:r>
      <w:r w:rsidR="003401E2">
        <w:t xml:space="preserve"> unless covered by </w:t>
      </w:r>
      <w:r w:rsidR="00FB2949">
        <w:t>another</w:t>
      </w:r>
      <w:r w:rsidR="003401E2">
        <w:t xml:space="preserve"> </w:t>
      </w:r>
      <w:r w:rsidR="00FB2949">
        <w:t>exception</w:t>
      </w:r>
      <w:r w:rsidR="003401E2">
        <w:t xml:space="preserve">. </w:t>
      </w:r>
      <w:r w:rsidR="00756BAD">
        <w:t xml:space="preserve"> </w:t>
      </w:r>
    </w:p>
    <w:p w:rsidR="00611FFC" w:rsidRDefault="00756BAD" w:rsidP="00611FFC">
      <w:pPr>
        <w:pStyle w:val="BodyTextFirstIndent"/>
      </w:pPr>
      <w:r>
        <w:lastRenderedPageBreak/>
        <w:t xml:space="preserve">For example, the </w:t>
      </w:r>
      <w:r w:rsidR="00FB2949">
        <w:t>President</w:t>
      </w:r>
      <w:r>
        <w:t xml:space="preserve"> of Company X could buy a $10 lunch for a </w:t>
      </w:r>
      <w:r w:rsidR="00FB2949">
        <w:t>cooperative</w:t>
      </w:r>
      <w:r>
        <w:t xml:space="preserve"> CEO during an event, but, if the Vice-President of Company X wanted to then buy the CEO's dinner during that same event, it could cost no more than $10 or the CEO would need to decline.  But, </w:t>
      </w:r>
      <w:r w:rsidR="00FB2949">
        <w:t>Company</w:t>
      </w:r>
      <w:r>
        <w:t xml:space="preserve"> Y could buy the CEO dinner at $20 during the event.  The total dinners/other gifts provided by </w:t>
      </w:r>
      <w:r w:rsidR="00FB2949">
        <w:t>either</w:t>
      </w:r>
      <w:r>
        <w:t xml:space="preserve"> company would be capped at $50 for the year. </w:t>
      </w:r>
    </w:p>
    <w:p w:rsidR="004B4C8F" w:rsidRDefault="004B4C8F" w:rsidP="004B4C8F">
      <w:pPr>
        <w:pStyle w:val="Heading4"/>
      </w:pPr>
      <w:r>
        <w:t>Gifts B</w:t>
      </w:r>
      <w:r w:rsidRPr="004B4C8F">
        <w:t xml:space="preserve">ased on a </w:t>
      </w:r>
      <w:r>
        <w:t>P</w:t>
      </w:r>
      <w:r w:rsidRPr="004B4C8F">
        <w:t xml:space="preserve">ersonal </w:t>
      </w:r>
      <w:r>
        <w:t>R</w:t>
      </w:r>
      <w:r w:rsidRPr="004B4C8F">
        <w:t xml:space="preserve">elationship </w:t>
      </w:r>
    </w:p>
    <w:p w:rsidR="001956B5" w:rsidRDefault="004B4C8F" w:rsidP="00611FFC">
      <w:pPr>
        <w:pStyle w:val="BodyTextFirstIndent"/>
      </w:pPr>
      <w:r>
        <w:t>"</w:t>
      </w:r>
      <w:r w:rsidRPr="004B4C8F">
        <w:t>An employee may accept a gift given under circumstances which make it clear that the gift is motivated by a family relationship or personal friendship rather than the position of the employee.</w:t>
      </w:r>
      <w:r>
        <w:t>"</w:t>
      </w:r>
      <w:r>
        <w:rPr>
          <w:rStyle w:val="FootnoteReference"/>
        </w:rPr>
        <w:footnoteReference w:id="22"/>
      </w:r>
      <w:r>
        <w:t xml:space="preserve">  Great care should be taken with this exception.  An </w:t>
      </w:r>
      <w:r w:rsidR="00FB2949">
        <w:t>example</w:t>
      </w:r>
      <w:r>
        <w:t xml:space="preserve"> indicates that even a personal friendship will not justify use of the exception if </w:t>
      </w:r>
      <w:r w:rsidR="00A461B8">
        <w:t>an</w:t>
      </w:r>
      <w:r>
        <w:t xml:space="preserve"> entity is paying for the gift (not the individual) and the motivation for the gift appears to be based on a </w:t>
      </w:r>
      <w:r w:rsidR="00FB2949">
        <w:t>business</w:t>
      </w:r>
      <w:r>
        <w:t xml:space="preserve"> </w:t>
      </w:r>
      <w:r w:rsidR="00FB2949">
        <w:t>relationship</w:t>
      </w:r>
      <w:r>
        <w:t xml:space="preserve"> rather than personal.   </w:t>
      </w:r>
    </w:p>
    <w:p w:rsidR="004B4C8F" w:rsidRDefault="001956B5" w:rsidP="00611FFC">
      <w:pPr>
        <w:pStyle w:val="BodyTextFirstIndent"/>
      </w:pPr>
      <w:r>
        <w:t xml:space="preserve">For example, a cousin who </w:t>
      </w:r>
      <w:r w:rsidR="002B4F10">
        <w:t>works</w:t>
      </w:r>
      <w:r>
        <w:t xml:space="preserve"> for a </w:t>
      </w:r>
      <w:r w:rsidR="002B4F10">
        <w:t>utility</w:t>
      </w:r>
      <w:r>
        <w:t xml:space="preserve"> contractor could buy lunch for a cooperative CEO during an event, but if the cousin wanted to pay for the lunch with a company credit card, the CEO would need to clarify that the lunch is personal and/or make sure the lunch would be covered by the nominal value or other </w:t>
      </w:r>
      <w:r w:rsidR="002B4F10">
        <w:t>exception</w:t>
      </w:r>
      <w:r>
        <w:t xml:space="preserve">.  </w:t>
      </w:r>
    </w:p>
    <w:p w:rsidR="00001F20" w:rsidRDefault="00001F20" w:rsidP="00001F20">
      <w:pPr>
        <w:pStyle w:val="Heading4"/>
      </w:pPr>
      <w:r w:rsidRPr="001A0BE3">
        <w:t xml:space="preserve">Discounts and </w:t>
      </w:r>
      <w:r>
        <w:t>S</w:t>
      </w:r>
      <w:r w:rsidRPr="001A0BE3">
        <w:t xml:space="preserve">imilar </w:t>
      </w:r>
      <w:r>
        <w:t>B</w:t>
      </w:r>
      <w:r w:rsidRPr="001A0BE3">
        <w:t>enefits</w:t>
      </w:r>
    </w:p>
    <w:p w:rsidR="00001F20" w:rsidRDefault="00001F20" w:rsidP="00001F20">
      <w:pPr>
        <w:pStyle w:val="BodyText"/>
      </w:pPr>
      <w:r>
        <w:tab/>
        <w:t>Th</w:t>
      </w:r>
      <w:r w:rsidR="00D15AA4">
        <w:t xml:space="preserve">is exception allows acceptance of commercial </w:t>
      </w:r>
      <w:r>
        <w:t>discounts</w:t>
      </w:r>
      <w:r w:rsidR="004818F5">
        <w:t xml:space="preserve"> and</w:t>
      </w:r>
      <w:r>
        <w:t xml:space="preserve"> </w:t>
      </w:r>
      <w:r w:rsidR="004818F5">
        <w:t>r</w:t>
      </w:r>
      <w:r w:rsidRPr="001A0BE3">
        <w:t xml:space="preserve">educed membership or other fees </w:t>
      </w:r>
      <w:r w:rsidR="004818F5">
        <w:t xml:space="preserve">under certain circumstances that generally indicate the </w:t>
      </w:r>
      <w:r w:rsidR="00FB2949">
        <w:t>benefit</w:t>
      </w:r>
      <w:r w:rsidR="004818F5">
        <w:t xml:space="preserve"> is widely </w:t>
      </w:r>
      <w:r w:rsidR="00FB2949">
        <w:t>available</w:t>
      </w:r>
      <w:r w:rsidR="004818F5">
        <w:t xml:space="preserve"> and/or not based on the nature of the person's employment.</w:t>
      </w:r>
      <w:r w:rsidR="00CA63A0">
        <w:rPr>
          <w:rStyle w:val="FootnoteReference"/>
        </w:rPr>
        <w:footnoteReference w:id="23"/>
      </w:r>
      <w:r w:rsidR="004818F5">
        <w:t xml:space="preserve"> </w:t>
      </w:r>
      <w:r w:rsidR="00CA63A0">
        <w:t xml:space="preserve"> </w:t>
      </w:r>
      <w:r w:rsidR="00A601E2">
        <w:t>I</w:t>
      </w:r>
      <w:r w:rsidR="00CA63A0">
        <w:t xml:space="preserve">f a discount is being </w:t>
      </w:r>
      <w:r w:rsidR="00FB2949">
        <w:t>offered</w:t>
      </w:r>
      <w:r w:rsidR="00CA63A0">
        <w:t xml:space="preserve"> to a CEO/General Manager of a </w:t>
      </w:r>
      <w:r w:rsidR="00FB2949">
        <w:t>cooperative</w:t>
      </w:r>
      <w:r w:rsidR="00CA63A0">
        <w:t xml:space="preserve"> based </w:t>
      </w:r>
      <w:r w:rsidR="00FB2949">
        <w:t>solely</w:t>
      </w:r>
      <w:r w:rsidR="00CA63A0">
        <w:t xml:space="preserve"> on his/her status and not on some bona-fide professional or other widely applied </w:t>
      </w:r>
      <w:r w:rsidR="00FB2949">
        <w:t>categorization</w:t>
      </w:r>
      <w:r w:rsidR="00CA63A0">
        <w:t xml:space="preserve"> (i.e., discounts </w:t>
      </w:r>
      <w:r w:rsidR="001956B5">
        <w:t xml:space="preserve">that </w:t>
      </w:r>
      <w:r w:rsidR="00CA63A0">
        <w:t xml:space="preserve">are offered for military status, </w:t>
      </w:r>
      <w:r w:rsidR="00FB2949">
        <w:t>licensure</w:t>
      </w:r>
      <w:r w:rsidR="00CA63A0">
        <w:t xml:space="preserve">, age, etc.), the gift may be prohibited.   </w:t>
      </w:r>
    </w:p>
    <w:p w:rsidR="00CA63A0" w:rsidRDefault="00CA63A0" w:rsidP="00CA63A0">
      <w:pPr>
        <w:pStyle w:val="Heading4"/>
      </w:pPr>
      <w:r w:rsidRPr="00CA63A0">
        <w:t>Awards</w:t>
      </w:r>
      <w:r w:rsidR="00E715D2">
        <w:t>*</w:t>
      </w:r>
      <w:r w:rsidRPr="00CA63A0">
        <w:t xml:space="preserve"> </w:t>
      </w:r>
    </w:p>
    <w:p w:rsidR="00CA63A0" w:rsidRPr="00CA63A0" w:rsidRDefault="00C809C7" w:rsidP="00860A26">
      <w:pPr>
        <w:pStyle w:val="BodyText"/>
      </w:pPr>
      <w:r>
        <w:tab/>
        <w:t xml:space="preserve">Under this </w:t>
      </w:r>
      <w:r w:rsidR="00FB2949">
        <w:t>exception</w:t>
      </w:r>
      <w:r>
        <w:t xml:space="preserve">, </w:t>
      </w:r>
      <w:r w:rsidR="001E0B54">
        <w:t>c</w:t>
      </w:r>
      <w:r>
        <w:t xml:space="preserve">ooperative </w:t>
      </w:r>
      <w:r w:rsidR="001E0B54">
        <w:t>personnel</w:t>
      </w:r>
      <w:r>
        <w:t xml:space="preserve"> </w:t>
      </w:r>
      <w:r w:rsidR="001E0B54">
        <w:t xml:space="preserve">may </w:t>
      </w:r>
      <w:r>
        <w:t xml:space="preserve">accept </w:t>
      </w:r>
      <w:r w:rsidR="00CA63A0" w:rsidRPr="00CA63A0">
        <w:t xml:space="preserve">gifts, other than cash or an investment interest, with an aggregate market value of $200 or less if such gifts are </w:t>
      </w:r>
      <w:r w:rsidR="00FB2949">
        <w:t>related</w:t>
      </w:r>
      <w:r>
        <w:t xml:space="preserve"> to an award given for public service or achievement.</w:t>
      </w:r>
      <w:r w:rsidR="00860A26">
        <w:rPr>
          <w:rStyle w:val="FootnoteReference"/>
        </w:rPr>
        <w:footnoteReference w:id="24"/>
      </w:r>
      <w:r>
        <w:t xml:space="preserve"> </w:t>
      </w:r>
      <w:r w:rsidR="00FB2949">
        <w:t xml:space="preserve">If valued over $200, or given by a person who has interests that </w:t>
      </w:r>
      <w:r w:rsidR="00FB2949" w:rsidRPr="00CA63A0">
        <w:t>may be substantially affected by the performance or nonperformance of the employee's official duties</w:t>
      </w:r>
      <w:r w:rsidR="00FB2949">
        <w:t xml:space="preserve">, </w:t>
      </w:r>
      <w:r w:rsidR="00D15AA4">
        <w:t xml:space="preserve">the award </w:t>
      </w:r>
      <w:r w:rsidR="00FB2949">
        <w:t xml:space="preserve">should only be accepted if given on a regular basis and pursuant to written standards.  </w:t>
      </w:r>
      <w:r w:rsidR="00860A26">
        <w:t xml:space="preserve">If an award is properly given, the cooperative </w:t>
      </w:r>
      <w:r w:rsidR="00FB2949">
        <w:t>member</w:t>
      </w:r>
      <w:r w:rsidR="00860A26">
        <w:t xml:space="preserve"> could also accept things given as part of the presentation (</w:t>
      </w:r>
      <w:r w:rsidR="00D15AA4">
        <w:t xml:space="preserve">including </w:t>
      </w:r>
      <w:r w:rsidR="00860A26">
        <w:t>meals/</w:t>
      </w:r>
      <w:r w:rsidR="00FB2949">
        <w:t>entertainment</w:t>
      </w:r>
      <w:r w:rsidR="00860A26">
        <w:t xml:space="preserve"> given to </w:t>
      </w:r>
      <w:r w:rsidR="00FB2949">
        <w:t>recipient</w:t>
      </w:r>
      <w:r w:rsidR="00860A26">
        <w:t xml:space="preserve"> and guests).  *This exception also covers acceptance of honorary degrees; not discussed. </w:t>
      </w:r>
    </w:p>
    <w:p w:rsidR="00E715D2" w:rsidRDefault="00E715D2" w:rsidP="00E715D2">
      <w:pPr>
        <w:pStyle w:val="Heading4"/>
      </w:pPr>
      <w:r w:rsidRPr="00E715D2">
        <w:t xml:space="preserve">Gifts </w:t>
      </w:r>
      <w:r>
        <w:t>B</w:t>
      </w:r>
      <w:r w:rsidRPr="00E715D2">
        <w:t xml:space="preserve">ased on </w:t>
      </w:r>
      <w:r>
        <w:t>O</w:t>
      </w:r>
      <w:r w:rsidRPr="00E715D2">
        <w:t xml:space="preserve">utside </w:t>
      </w:r>
      <w:r>
        <w:t>B</w:t>
      </w:r>
      <w:r w:rsidRPr="00E715D2">
        <w:t xml:space="preserve">usiness or </w:t>
      </w:r>
      <w:r>
        <w:t>E</w:t>
      </w:r>
      <w:r w:rsidRPr="00E715D2">
        <w:t xml:space="preserve">mployment </w:t>
      </w:r>
      <w:r>
        <w:t>R</w:t>
      </w:r>
      <w:r w:rsidRPr="00E715D2">
        <w:t>elationships</w:t>
      </w:r>
    </w:p>
    <w:p w:rsidR="005E5180" w:rsidRDefault="005E5180" w:rsidP="00E715D2">
      <w:pPr>
        <w:pStyle w:val="BodyText"/>
      </w:pPr>
      <w:r>
        <w:tab/>
        <w:t xml:space="preserve">This exception would apply when it is clear that the gift is being given because of some other </w:t>
      </w:r>
      <w:r w:rsidR="00FB2949">
        <w:t>circumstance</w:t>
      </w:r>
      <w:r>
        <w:t xml:space="preserve"> and not because of the official position of the member cooperative </w:t>
      </w:r>
      <w:r w:rsidR="001E0B54">
        <w:t>employee</w:t>
      </w:r>
      <w:r>
        <w:t>.</w:t>
      </w:r>
      <w:r w:rsidR="00C003A5">
        <w:rPr>
          <w:rStyle w:val="FootnoteReference"/>
        </w:rPr>
        <w:footnoteReference w:id="25"/>
      </w:r>
      <w:r>
        <w:t xml:space="preserve">  The gift </w:t>
      </w:r>
      <w:r>
        <w:lastRenderedPageBreak/>
        <w:t xml:space="preserve">being </w:t>
      </w:r>
      <w:r w:rsidR="00FB2949">
        <w:t>provided</w:t>
      </w:r>
      <w:r>
        <w:t xml:space="preserve"> may be from an otherwise prohibited source, </w:t>
      </w:r>
      <w:r w:rsidR="003E6968">
        <w:t>as long as</w:t>
      </w:r>
      <w:r>
        <w:t xml:space="preserve"> </w:t>
      </w:r>
      <w:r w:rsidR="003E6968">
        <w:t xml:space="preserve">that status is </w:t>
      </w:r>
      <w:r>
        <w:t xml:space="preserve">merely coincidence to the other relationship which is the actual motivation behind the gift.  </w:t>
      </w:r>
    </w:p>
    <w:p w:rsidR="005E5180" w:rsidRDefault="005E5180" w:rsidP="00E715D2">
      <w:pPr>
        <w:pStyle w:val="BodyText"/>
      </w:pPr>
      <w:r>
        <w:tab/>
        <w:t xml:space="preserve">For </w:t>
      </w:r>
      <w:r w:rsidR="00FB2949">
        <w:t>example</w:t>
      </w:r>
      <w:r>
        <w:t xml:space="preserve">, if the spouse of a member </w:t>
      </w:r>
      <w:r w:rsidR="00FB2949">
        <w:t>cooperative's</w:t>
      </w:r>
      <w:r>
        <w:t xml:space="preserve"> CEO </w:t>
      </w:r>
      <w:r w:rsidR="00FB2949">
        <w:t>works</w:t>
      </w:r>
      <w:r>
        <w:t xml:space="preserve"> for a utility contractor, the CEO can attend the contractor's annual meeting at the beach for free as long as all other spouses attend under the same general arrangements. </w:t>
      </w:r>
      <w:r w:rsidR="00D15AA4">
        <w:t xml:space="preserve"> </w:t>
      </w:r>
      <w:r>
        <w:t xml:space="preserve">A second example covers </w:t>
      </w:r>
      <w:r w:rsidR="00FB2949">
        <w:t>prospective</w:t>
      </w:r>
      <w:r>
        <w:t xml:space="preserve"> employers; if a CEO is being courted by a utility contractor, the CEO could accept a nice dinner</w:t>
      </w:r>
      <w:r w:rsidR="00D15AA4">
        <w:t xml:space="preserve">/travel </w:t>
      </w:r>
      <w:r w:rsidR="002B4F10">
        <w:t>accommodations</w:t>
      </w:r>
      <w:r>
        <w:t xml:space="preserve"> as part of those discussions as long as </w:t>
      </w:r>
      <w:r w:rsidR="00E65A79">
        <w:t xml:space="preserve">the CEO excuses </w:t>
      </w:r>
      <w:r w:rsidR="00FB2949">
        <w:t>himself</w:t>
      </w:r>
      <w:r w:rsidR="00E65A79">
        <w:t xml:space="preserve"> from any later discussions that might include </w:t>
      </w:r>
      <w:r w:rsidR="00FB2949">
        <w:t>decisions</w:t>
      </w:r>
      <w:r w:rsidR="00E65A79">
        <w:t xml:space="preserve"> that would impact the contractor.   </w:t>
      </w:r>
      <w:r>
        <w:t xml:space="preserve">  </w:t>
      </w:r>
      <w:r w:rsidR="00E715D2">
        <w:tab/>
      </w:r>
    </w:p>
    <w:p w:rsidR="00C003A5" w:rsidRDefault="00E65A79" w:rsidP="00C003A5">
      <w:pPr>
        <w:pStyle w:val="Heading4"/>
      </w:pPr>
      <w:r w:rsidRPr="00E65A79">
        <w:t xml:space="preserve">Widely </w:t>
      </w:r>
      <w:r w:rsidR="00C003A5">
        <w:t>A</w:t>
      </w:r>
      <w:r w:rsidRPr="00E65A79">
        <w:t xml:space="preserve">ttended </w:t>
      </w:r>
      <w:r w:rsidR="00C003A5">
        <w:t>Gatherings and O</w:t>
      </w:r>
      <w:r w:rsidRPr="00E65A79">
        <w:t xml:space="preserve">ther </w:t>
      </w:r>
      <w:r w:rsidR="00C003A5">
        <w:t>E</w:t>
      </w:r>
      <w:r w:rsidRPr="00E65A79">
        <w:t>vents</w:t>
      </w:r>
    </w:p>
    <w:p w:rsidR="00C003A5" w:rsidRDefault="005D39C3" w:rsidP="00E65A79">
      <w:pPr>
        <w:pStyle w:val="BodyTextFirstIndent"/>
        <w:rPr>
          <w:i/>
          <w:iCs/>
        </w:rPr>
      </w:pPr>
      <w:r>
        <w:rPr>
          <w:iCs/>
        </w:rPr>
        <w:t>This exception</w:t>
      </w:r>
      <w:r w:rsidR="00C114C7">
        <w:rPr>
          <w:iCs/>
        </w:rPr>
        <w:t xml:space="preserve"> </w:t>
      </w:r>
      <w:r>
        <w:rPr>
          <w:iCs/>
        </w:rPr>
        <w:t xml:space="preserve">is the most complex due to its varying applications.  </w:t>
      </w:r>
      <w:r w:rsidR="001E0B54">
        <w:rPr>
          <w:iCs/>
        </w:rPr>
        <w:t xml:space="preserve">With respect to cooperative personnel, this exception may apply to coverage of fees, meals, entertainment, and other items provided as part of </w:t>
      </w:r>
      <w:r w:rsidR="00C114C7">
        <w:rPr>
          <w:iCs/>
        </w:rPr>
        <w:t xml:space="preserve">large </w:t>
      </w:r>
      <w:r w:rsidR="006E5A47">
        <w:rPr>
          <w:iCs/>
        </w:rPr>
        <w:t>conferences</w:t>
      </w:r>
      <w:r w:rsidR="00C114C7">
        <w:rPr>
          <w:iCs/>
        </w:rPr>
        <w:t xml:space="preserve"> and other events</w:t>
      </w:r>
      <w:r>
        <w:rPr>
          <w:iCs/>
        </w:rPr>
        <w:t>.</w:t>
      </w:r>
      <w:r w:rsidR="00C003A5">
        <w:rPr>
          <w:rStyle w:val="FootnoteReference"/>
          <w:i/>
          <w:iCs/>
        </w:rPr>
        <w:footnoteReference w:id="26"/>
      </w:r>
      <w:r w:rsidR="00500E0F">
        <w:rPr>
          <w:iCs/>
        </w:rPr>
        <w:t xml:space="preserve">  </w:t>
      </w:r>
    </w:p>
    <w:p w:rsidR="00E65A79" w:rsidRPr="00E65A79" w:rsidRDefault="00500E0F" w:rsidP="00E65A79">
      <w:pPr>
        <w:pStyle w:val="BodyTextFirstIndent"/>
      </w:pPr>
      <w:r>
        <w:t>The exception first provides that a cooperative CEO/General Manager c</w:t>
      </w:r>
      <w:r w:rsidR="00C114C7">
        <w:t>an</w:t>
      </w:r>
      <w:r>
        <w:t xml:space="preserve"> accept free attendance for an event, as provided by the sponsor, if he/she is assigned to </w:t>
      </w:r>
      <w:r w:rsidR="00E65A79" w:rsidRPr="00E65A79">
        <w:t xml:space="preserve">participate as a speaker or panel participant or otherwise to present information on behalf of the </w:t>
      </w:r>
      <w:r w:rsidR="002B4F10">
        <w:t>cooperative</w:t>
      </w:r>
      <w:r w:rsidR="00E65A79" w:rsidRPr="00E65A79">
        <w:t>. The employee's participation in the event on that day is viewed as a customary and necessary part of his</w:t>
      </w:r>
      <w:r>
        <w:t>/her</w:t>
      </w:r>
      <w:r w:rsidR="00E65A79" w:rsidRPr="00E65A79">
        <w:t xml:space="preserve"> performance of the assignment and does not involve a gift.</w:t>
      </w:r>
      <w:r w:rsidR="009B7A6F">
        <w:rPr>
          <w:rStyle w:val="FootnoteReference"/>
        </w:rPr>
        <w:footnoteReference w:id="27"/>
      </w:r>
    </w:p>
    <w:p w:rsidR="00BF6A57" w:rsidRDefault="00BF6A57" w:rsidP="002B4F10">
      <w:pPr>
        <w:pStyle w:val="BodyTextFirstIndent"/>
        <w:spacing w:after="120"/>
      </w:pPr>
      <w:r>
        <w:t xml:space="preserve">The second part of the </w:t>
      </w:r>
      <w:r w:rsidR="002B4F10">
        <w:t>exception</w:t>
      </w:r>
      <w:r>
        <w:t xml:space="preserve"> covers widely attended gatherings</w:t>
      </w:r>
      <w:r w:rsidR="00C114C7">
        <w:t>,</w:t>
      </w:r>
      <w:r w:rsidR="00C114C7" w:rsidRPr="00C114C7">
        <w:rPr>
          <w:iCs/>
        </w:rPr>
        <w:t xml:space="preserve"> </w:t>
      </w:r>
      <w:r w:rsidR="00C114C7">
        <w:rPr>
          <w:iCs/>
        </w:rPr>
        <w:t>often referred to as "WAGs" in Federal analyses</w:t>
      </w:r>
      <w:r>
        <w:t xml:space="preserve">. </w:t>
      </w:r>
      <w:r w:rsidR="00E65A79" w:rsidRPr="00E65A79">
        <w:t xml:space="preserve">When there has </w:t>
      </w:r>
      <w:r>
        <w:t xml:space="preserve">(1) </w:t>
      </w:r>
      <w:r w:rsidR="00E65A79" w:rsidRPr="00E65A79">
        <w:t xml:space="preserve">been a determination that attendance is in the interest of the </w:t>
      </w:r>
      <w:r w:rsidR="002B4F10">
        <w:t>cooperative</w:t>
      </w:r>
      <w:r>
        <w:t xml:space="preserve"> </w:t>
      </w:r>
      <w:r w:rsidR="00E65A79" w:rsidRPr="00E65A79">
        <w:t xml:space="preserve">because it will further </w:t>
      </w:r>
      <w:r>
        <w:t>cooperative</w:t>
      </w:r>
      <w:r w:rsidR="00E65A79" w:rsidRPr="00E65A79">
        <w:t xml:space="preserve"> programs and operations,</w:t>
      </w:r>
      <w:r>
        <w:t xml:space="preserve"> and (2)</w:t>
      </w:r>
      <w:r w:rsidR="00E65A79" w:rsidRPr="00E65A79">
        <w:t xml:space="preserve"> </w:t>
      </w:r>
      <w:r>
        <w:t xml:space="preserve">the gathering is "widely attended" </w:t>
      </w:r>
      <w:r w:rsidR="002B4F10">
        <w:t>meaning</w:t>
      </w:r>
      <w:r>
        <w:t xml:space="preserve"> it </w:t>
      </w:r>
      <w:r w:rsidR="00E65A79" w:rsidRPr="00E65A79">
        <w:t>is expected that a large number of persons will attend and that persons with a diversity of views or interests will be present, for example, if it is open to members from throughout the interested industry or profession or if those in attendance represent a range of persons interested in a given matter</w:t>
      </w:r>
      <w:r>
        <w:t>:</w:t>
      </w:r>
    </w:p>
    <w:p w:rsidR="00BF6A57" w:rsidRDefault="00BF6A57" w:rsidP="002B4F10">
      <w:pPr>
        <w:pStyle w:val="BodyTextFirstIndent"/>
        <w:spacing w:after="120"/>
        <w:ind w:left="720" w:firstLine="0"/>
      </w:pPr>
      <w:r>
        <w:t xml:space="preserve">(1) </w:t>
      </w:r>
      <w:r w:rsidR="0053259C" w:rsidRPr="0053259C">
        <w:t>From the sponsor of the event</w:t>
      </w:r>
      <w:r w:rsidR="0053259C">
        <w:t xml:space="preserve"> - </w:t>
      </w:r>
      <w:r w:rsidR="006E5A47">
        <w:t>Cooperative personnel</w:t>
      </w:r>
      <w:r w:rsidRPr="00E65A79">
        <w:t xml:space="preserve"> may accept an </w:t>
      </w:r>
      <w:r w:rsidRPr="00BF6A57">
        <w:rPr>
          <w:b/>
        </w:rPr>
        <w:t>unsolicited</w:t>
      </w:r>
      <w:r w:rsidRPr="00E65A79">
        <w:t xml:space="preserve"> gift of free attendance at all or appropriate parts of </w:t>
      </w:r>
      <w:r>
        <w:t>the gathering,</w:t>
      </w:r>
      <w:r w:rsidRPr="00E65A79">
        <w:t xml:space="preserve"> or</w:t>
      </w:r>
    </w:p>
    <w:p w:rsidR="00E65A79" w:rsidRPr="00E65A79" w:rsidRDefault="00BF6A57" w:rsidP="002B4F10">
      <w:pPr>
        <w:pStyle w:val="BodyTextFirstIndent"/>
        <w:spacing w:after="120"/>
        <w:ind w:left="720" w:firstLine="0"/>
      </w:pPr>
      <w:r>
        <w:t>(2)</w:t>
      </w:r>
      <w:r w:rsidRPr="00E65A79">
        <w:t xml:space="preserve"> </w:t>
      </w:r>
      <w:r w:rsidR="0053259C">
        <w:t>F</w:t>
      </w:r>
      <w:r w:rsidR="0053259C" w:rsidRPr="00E65A79">
        <w:t>rom a person other than the sponsor of the event</w:t>
      </w:r>
      <w:r w:rsidR="0053259C">
        <w:t xml:space="preserve"> - </w:t>
      </w:r>
      <w:r w:rsidR="006E5A47">
        <w:t>Cooperative personnel</w:t>
      </w:r>
      <w:r>
        <w:t xml:space="preserve"> may accept </w:t>
      </w:r>
      <w:r w:rsidR="0053259C" w:rsidRPr="00E65A79">
        <w:t xml:space="preserve">an </w:t>
      </w:r>
      <w:r w:rsidR="0053259C" w:rsidRPr="00BF6A57">
        <w:rPr>
          <w:b/>
        </w:rPr>
        <w:t>unsolicited</w:t>
      </w:r>
      <w:r w:rsidR="0053259C" w:rsidRPr="00E65A79">
        <w:t xml:space="preserve"> gift of free attendance at all or appropriate parts of </w:t>
      </w:r>
      <w:r w:rsidR="0053259C">
        <w:t>the gathering</w:t>
      </w:r>
      <w:r w:rsidR="0053259C" w:rsidRPr="00E65A79">
        <w:t xml:space="preserve"> </w:t>
      </w:r>
      <w:r w:rsidRPr="0053259C">
        <w:rPr>
          <w:b/>
        </w:rPr>
        <w:t>if more than 100 persons are expected to attend</w:t>
      </w:r>
      <w:r w:rsidRPr="00E65A79">
        <w:t xml:space="preserve"> and </w:t>
      </w:r>
      <w:r w:rsidRPr="0053259C">
        <w:rPr>
          <w:b/>
        </w:rPr>
        <w:t>the gift of free attendance has a market value of $375 or less</w:t>
      </w:r>
      <w:r w:rsidR="00E65A79" w:rsidRPr="00E65A79">
        <w:t>.</w:t>
      </w:r>
      <w:r w:rsidR="009B7A6F">
        <w:rPr>
          <w:rStyle w:val="FootnoteReference"/>
        </w:rPr>
        <w:footnoteReference w:id="28"/>
      </w:r>
      <w:r w:rsidR="00E65A79" w:rsidRPr="00E65A79">
        <w:t xml:space="preserve"> </w:t>
      </w:r>
    </w:p>
    <w:p w:rsidR="00E65A79" w:rsidRPr="00E65A79" w:rsidRDefault="00E65A79" w:rsidP="00E65A79">
      <w:pPr>
        <w:pStyle w:val="BodyTextFirstIndent"/>
      </w:pPr>
      <w:r w:rsidRPr="00E65A79">
        <w:t xml:space="preserve">The determination </w:t>
      </w:r>
      <w:r w:rsidR="0053259C">
        <w:t xml:space="preserve">that attendance is in the </w:t>
      </w:r>
      <w:r w:rsidR="002B4F10">
        <w:t>interest</w:t>
      </w:r>
      <w:r w:rsidR="0053259C">
        <w:t xml:space="preserve"> of t</w:t>
      </w:r>
      <w:r w:rsidR="002B4F10">
        <w:t>h</w:t>
      </w:r>
      <w:r w:rsidR="0053259C">
        <w:t xml:space="preserve">e </w:t>
      </w:r>
      <w:r w:rsidR="002B4F10">
        <w:t>cooperative</w:t>
      </w:r>
      <w:r w:rsidR="0053259C">
        <w:t xml:space="preserve"> may be </w:t>
      </w:r>
      <w:r w:rsidRPr="00E65A79">
        <w:t>made orally or in writing</w:t>
      </w:r>
      <w:r w:rsidR="0053259C">
        <w:t xml:space="preserve"> unless </w:t>
      </w:r>
      <w:r w:rsidRPr="00E65A79">
        <w:t xml:space="preserve">the person who has extended the invitation has interests that may be substantially affected by the performance or nonperformance of </w:t>
      </w:r>
      <w:r w:rsidR="0053259C">
        <w:t>the</w:t>
      </w:r>
      <w:r w:rsidRPr="00E65A79">
        <w:t xml:space="preserve"> employee's official duties or is an association or organization the majority of whose members have such interests</w:t>
      </w:r>
      <w:r w:rsidR="0053259C">
        <w:t xml:space="preserve">.  In such a case, the </w:t>
      </w:r>
      <w:r w:rsidR="002B4F10">
        <w:t>determination</w:t>
      </w:r>
      <w:r w:rsidR="0053259C">
        <w:t xml:space="preserve"> should be in writing and conclude that </w:t>
      </w:r>
      <w:r w:rsidRPr="00E65A79">
        <w:t xml:space="preserve">the </w:t>
      </w:r>
      <w:r w:rsidR="002B4F10">
        <w:t>cooperative</w:t>
      </w:r>
      <w:r w:rsidR="002B4F10" w:rsidRPr="00E65A79">
        <w:t>'s</w:t>
      </w:r>
      <w:r w:rsidRPr="00E65A79">
        <w:t xml:space="preserve"> interest in the employee's participation in the event outweighs the concern that acceptance of the gift of free attendance may appear to improperly </w:t>
      </w:r>
      <w:r w:rsidRPr="00E65A79">
        <w:lastRenderedPageBreak/>
        <w:t>influence the employee in the performance of his</w:t>
      </w:r>
      <w:r w:rsidR="009B7A6F">
        <w:t>/her</w:t>
      </w:r>
      <w:r w:rsidRPr="00E65A79">
        <w:t xml:space="preserve"> official duties. Relevant factors that should be considered include the importance of the event to the </w:t>
      </w:r>
      <w:r w:rsidR="009128E3">
        <w:t>cooperative</w:t>
      </w:r>
      <w:r w:rsidRPr="00E65A79">
        <w:t>, the nature and sensitivity of any pending matter affecting the interests of the person who has extended the invitation, the significance of the employee's role in any such matter, the purpose of the event, the identity of other expected participants and the market value of the gift of free attendance.</w:t>
      </w:r>
      <w:r w:rsidR="009B7A6F">
        <w:rPr>
          <w:rStyle w:val="FootnoteReference"/>
        </w:rPr>
        <w:footnoteReference w:id="29"/>
      </w:r>
      <w:r w:rsidRPr="00E65A79">
        <w:t xml:space="preserve"> </w:t>
      </w:r>
    </w:p>
    <w:p w:rsidR="00E65A79" w:rsidRDefault="009B7A6F" w:rsidP="00E65A79">
      <w:pPr>
        <w:pStyle w:val="BodyTextFirstIndent"/>
      </w:pPr>
      <w:r>
        <w:t xml:space="preserve">If the offer of free </w:t>
      </w:r>
      <w:r w:rsidR="002B4F10">
        <w:t>attendance</w:t>
      </w:r>
      <w:r>
        <w:t xml:space="preserve"> is </w:t>
      </w:r>
      <w:r w:rsidR="002B4F10">
        <w:t>determined</w:t>
      </w:r>
      <w:r>
        <w:t xml:space="preserve"> appropriate, it may include</w:t>
      </w:r>
      <w:r w:rsidR="00E65A79" w:rsidRPr="00E65A79">
        <w:t xml:space="preserve"> waiver of all or part of a conference or other fee</w:t>
      </w:r>
      <w:r>
        <w:t>,</w:t>
      </w:r>
      <w:r w:rsidR="00E65A79" w:rsidRPr="00E65A79">
        <w:t xml:space="preserve"> food, refreshments, entertainment, instruction</w:t>
      </w:r>
      <w:r>
        <w:t>,</w:t>
      </w:r>
      <w:r w:rsidR="00E65A79" w:rsidRPr="00E65A79">
        <w:t xml:space="preserve"> and materials furnished to all attendees as an integral part of the event. It does not include travel expenses, lodgings, entertainment collateral to the event, or meals taken other than in a group setting with all other attendees.</w:t>
      </w:r>
      <w:r>
        <w:rPr>
          <w:rStyle w:val="FootnoteReference"/>
        </w:rPr>
        <w:footnoteReference w:id="30"/>
      </w:r>
      <w:r w:rsidR="00E65A79" w:rsidRPr="00E65A79">
        <w:t xml:space="preserve"> </w:t>
      </w:r>
      <w:r>
        <w:t xml:space="preserve"> </w:t>
      </w:r>
    </w:p>
    <w:p w:rsidR="006E5A47" w:rsidRDefault="006E5A47" w:rsidP="00CA1D82">
      <w:pPr>
        <w:pStyle w:val="BodyTextFirstIndent"/>
      </w:pPr>
      <w:r>
        <w:t>Notably, t</w:t>
      </w:r>
      <w:r w:rsidR="00CA1D82" w:rsidRPr="00E65A79">
        <w:t xml:space="preserve">he cost of the employee's attendance will not be considered to be provided by the sponsor, and the invitation is not considered to be from the sponsor of the event, </w:t>
      </w:r>
      <w:r w:rsidR="00CA1D82" w:rsidRPr="00C00A64">
        <w:rPr>
          <w:b/>
        </w:rPr>
        <w:t>where a person other than the sponsor designates the employee to be invited and bears the cost of the employee's attendance through a contribution or other payment intended to facilitate that employee's attendance</w:t>
      </w:r>
      <w:r w:rsidR="00CA1D82" w:rsidRPr="00E65A79">
        <w:t>.</w:t>
      </w:r>
      <w:r w:rsidR="005D6EB7">
        <w:rPr>
          <w:rStyle w:val="FootnoteReference"/>
        </w:rPr>
        <w:footnoteReference w:id="31"/>
      </w:r>
      <w:r w:rsidR="00CA1D82" w:rsidRPr="00E65A79">
        <w:t xml:space="preserve"> Payment of dues or a similar assessment to a sponsoring organization does not constitute a payment intended to facilitate a particular employee's attendance. </w:t>
      </w:r>
      <w:r>
        <w:t xml:space="preserve"> </w:t>
      </w:r>
      <w:r w:rsidR="002A6245">
        <w:t>T</w:t>
      </w:r>
      <w:r>
        <w:t>he examples included in the Federal Standards are reproduced below:</w:t>
      </w:r>
    </w:p>
    <w:p w:rsidR="006E5A47" w:rsidRDefault="006E5A47" w:rsidP="006E5A47">
      <w:pPr>
        <w:pStyle w:val="BodyText"/>
        <w:ind w:left="720"/>
      </w:pPr>
      <w:r w:rsidRPr="006E5A47">
        <w:rPr>
          <w:i/>
        </w:rPr>
        <w:t>Example 1</w:t>
      </w:r>
      <w:r>
        <w:t xml:space="preserve">: </w:t>
      </w:r>
      <w:r w:rsidRPr="001A0BE3">
        <w:t xml:space="preserve">An aerospace industry association that is a prohibited source sponsors an industrywide, two-day seminar for which it charges a fee of $400 and anticipates attendance of approximately 400. An Air Force contractor pays $2,000 to the association so that the association can extend free invitations to five Air Force officials designated by the contractor. The Air Force officials may not accept the gifts of free attendance. </w:t>
      </w:r>
      <w:r w:rsidRPr="00C00A64">
        <w:rPr>
          <w:b/>
        </w:rPr>
        <w:t>Because the contractor specified the invitees and bore the cost of their attendance, the gift of free attendance is considered to be provided by the company and not by the sponsoring association.</w:t>
      </w:r>
      <w:r w:rsidRPr="001A0BE3">
        <w:t xml:space="preserve"> Had the contractor paid $2,000 to the association in order that the association might invite any five Federal employees, an Air Force official to whom the sponsoring association extended one of the five invitations could attend if his participation were determined to be in the interest of the agency. The Air Force official could not in any case accept an invitation directly from the non</w:t>
      </w:r>
      <w:r>
        <w:t>-</w:t>
      </w:r>
      <w:r w:rsidRPr="001A0BE3">
        <w:t xml:space="preserve">sponsor contractor because the market value of the gift exceeds $375. </w:t>
      </w:r>
    </w:p>
    <w:p w:rsidR="00CA1D82" w:rsidRDefault="006E5A47" w:rsidP="006E5A47">
      <w:pPr>
        <w:pStyle w:val="BodyText"/>
        <w:ind w:left="720"/>
      </w:pPr>
      <w:r w:rsidRPr="001A0BE3">
        <w:rPr>
          <w:i/>
          <w:iCs/>
        </w:rPr>
        <w:t>Example 2:</w:t>
      </w:r>
      <w:r w:rsidRPr="001A0BE3">
        <w:t xml:space="preserve"> An employee of the Department of Transportation is invited by a news organization to an annual press dinner sponsored by an association of press organizations. Tickets for the event cost $375 per person and attendance is limited to 400 representatives of press organizations and their guests. If the employee's attendance is determined to be in the interest of the agency, she may accept the invitation from the news organization because more than 100 persons will attend and the cost of the ticket does not exceed $375. However, if the invitation were extended to the employee and an accompanying guest, her guest could not be authorized </w:t>
      </w:r>
      <w:r w:rsidRPr="001A0BE3">
        <w:lastRenderedPageBreak/>
        <w:t>to attend for free since the market value of the gift of free attendance would be $750 and the invitation is from a person other than the sponsor of the event.</w:t>
      </w:r>
      <w:r w:rsidR="005D6EB7">
        <w:rPr>
          <w:rStyle w:val="FootnoteReference"/>
        </w:rPr>
        <w:footnoteReference w:id="32"/>
      </w:r>
    </w:p>
    <w:p w:rsidR="00C003A5" w:rsidRDefault="00C003A5" w:rsidP="00C003A5">
      <w:pPr>
        <w:pStyle w:val="Heading4"/>
      </w:pPr>
      <w:r>
        <w:t>Social Invitations f</w:t>
      </w:r>
      <w:r w:rsidRPr="00C003A5">
        <w:t xml:space="preserve">rom </w:t>
      </w:r>
      <w:r>
        <w:t>P</w:t>
      </w:r>
      <w:r w:rsidRPr="00C003A5">
        <w:t xml:space="preserve">ersons other than </w:t>
      </w:r>
      <w:r>
        <w:t>P</w:t>
      </w:r>
      <w:r w:rsidRPr="00C003A5">
        <w:t xml:space="preserve">rohibited </w:t>
      </w:r>
      <w:r>
        <w:t>S</w:t>
      </w:r>
      <w:r w:rsidRPr="00C003A5">
        <w:t>ources</w:t>
      </w:r>
    </w:p>
    <w:p w:rsidR="00C003A5" w:rsidRDefault="001632A5" w:rsidP="00C003A5">
      <w:pPr>
        <w:pStyle w:val="BodyTextFirstIndent"/>
      </w:pPr>
      <w:r>
        <w:t>Cooperative personnel</w:t>
      </w:r>
      <w:r w:rsidR="00C003A5" w:rsidRPr="00C003A5">
        <w:t xml:space="preserve"> may </w:t>
      </w:r>
      <w:r>
        <w:t xml:space="preserve">properly </w:t>
      </w:r>
      <w:r w:rsidR="00C003A5" w:rsidRPr="00C003A5">
        <w:t>accept food, refreshments and entertainment, not including travel or lodgings, at a social event attended by several persons where</w:t>
      </w:r>
      <w:r w:rsidR="009B7A6F">
        <w:t xml:space="preserve"> </w:t>
      </w:r>
      <w:r w:rsidR="00C003A5" w:rsidRPr="00C003A5">
        <w:t>(1) The invitation is from a person who is not a prohibited source</w:t>
      </w:r>
      <w:r w:rsidR="009128E3">
        <w:t>,</w:t>
      </w:r>
      <w:r w:rsidR="00C003A5" w:rsidRPr="00C003A5">
        <w:t xml:space="preserve"> and</w:t>
      </w:r>
      <w:r w:rsidR="009B7A6F">
        <w:t xml:space="preserve"> </w:t>
      </w:r>
      <w:r w:rsidR="00C003A5" w:rsidRPr="00C003A5">
        <w:t>(2) No fee is charged to any person in attendance.</w:t>
      </w:r>
      <w:r w:rsidR="009B7A6F">
        <w:rPr>
          <w:rStyle w:val="FootnoteReference"/>
        </w:rPr>
        <w:footnoteReference w:id="33"/>
      </w:r>
      <w:r>
        <w:t xml:space="preserve">  </w:t>
      </w:r>
    </w:p>
    <w:p w:rsidR="009128E3" w:rsidRPr="00C003A5" w:rsidRDefault="009128E3" w:rsidP="00C003A5">
      <w:pPr>
        <w:pStyle w:val="BodyTextFirstIndent"/>
      </w:pPr>
      <w:r>
        <w:t xml:space="preserve">As noted above, our evaluation concludes that NRECA would not be considered a prohibited </w:t>
      </w:r>
      <w:r w:rsidR="00C114C7">
        <w:t>source</w:t>
      </w:r>
      <w:r>
        <w:t xml:space="preserve"> </w:t>
      </w:r>
      <w:r w:rsidR="00D62753">
        <w:t>by</w:t>
      </w:r>
      <w:r>
        <w:t xml:space="preserve"> its member </w:t>
      </w:r>
      <w:r w:rsidR="00C114C7">
        <w:t>cooperatives</w:t>
      </w:r>
      <w:r>
        <w:t xml:space="preserve">.  </w:t>
      </w:r>
      <w:r w:rsidR="001170A3">
        <w:t>Member</w:t>
      </w:r>
      <w:r w:rsidR="005D6EB7">
        <w:t xml:space="preserve"> cooperative personnel may </w:t>
      </w:r>
      <w:r w:rsidR="000064CD">
        <w:t xml:space="preserve">therefore </w:t>
      </w:r>
      <w:r w:rsidR="005D6EB7">
        <w:t xml:space="preserve">accept invitations from NRECA and attend events </w:t>
      </w:r>
      <w:r w:rsidR="001170A3">
        <w:t>sponsored</w:t>
      </w:r>
      <w:r w:rsidR="005D6EB7">
        <w:t xml:space="preserve">/hosted by NRECA, including </w:t>
      </w:r>
      <w:r>
        <w:t>food, entertainment, etc.</w:t>
      </w:r>
      <w:r w:rsidR="005D6EB7">
        <w:t>,</w:t>
      </w:r>
      <w:r>
        <w:t xml:space="preserve"> with no </w:t>
      </w:r>
      <w:r w:rsidR="00C114C7">
        <w:t>gifting</w:t>
      </w:r>
      <w:r>
        <w:t xml:space="preserve"> concerns. </w:t>
      </w:r>
      <w:r w:rsidR="00C114C7">
        <w:t xml:space="preserve">Contractors would not qualify for this exception if considered a prohibited source; however, an example provided in the Federal Standards indicates that a vendor who is not aware of any current opportunities and is therefore not actively seeking to do business with a cooperative may extend a social invitation, and the cooperative could accept, as long no fees are charged to any participants.    </w:t>
      </w:r>
    </w:p>
    <w:p w:rsidR="00C003A5" w:rsidRDefault="002B4F10" w:rsidP="0032049C">
      <w:pPr>
        <w:pStyle w:val="Heading2"/>
      </w:pPr>
      <w:r>
        <w:t>Limitations</w:t>
      </w:r>
      <w:r w:rsidR="001632A5">
        <w:t xml:space="preserve"> on Use of </w:t>
      </w:r>
      <w:r>
        <w:t>Exceptions</w:t>
      </w:r>
      <w:r w:rsidR="0032049C">
        <w:t xml:space="preserve"> - Generally Prohibited Actions</w:t>
      </w:r>
    </w:p>
    <w:p w:rsidR="00611FFC" w:rsidRDefault="00611FFC" w:rsidP="001632A5">
      <w:pPr>
        <w:pStyle w:val="BodyTextFirstIndent"/>
        <w:spacing w:after="120"/>
      </w:pPr>
      <w:r>
        <w:t xml:space="preserve">Notwithstanding all of the above, the Federal Standards provide that the following actions </w:t>
      </w:r>
      <w:r w:rsidR="00D62753">
        <w:t>are always prohibited</w:t>
      </w:r>
      <w:r>
        <w:t>, even when covered by an otherwise valid exception:</w:t>
      </w:r>
    </w:p>
    <w:p w:rsidR="00611FFC" w:rsidRDefault="00611FFC" w:rsidP="001632A5">
      <w:pPr>
        <w:pStyle w:val="BodyTextFirstIndent"/>
        <w:spacing w:after="120"/>
      </w:pPr>
      <w:r>
        <w:t>(1) Accept a gift in return for being influenced in the performance of an official act;</w:t>
      </w:r>
    </w:p>
    <w:p w:rsidR="00611FFC" w:rsidRDefault="00611FFC" w:rsidP="001632A5">
      <w:pPr>
        <w:pStyle w:val="BodyTextFirstIndent"/>
        <w:spacing w:after="120"/>
      </w:pPr>
      <w:r>
        <w:t xml:space="preserve">(2) </w:t>
      </w:r>
      <w:r w:rsidRPr="001632A5">
        <w:rPr>
          <w:b/>
        </w:rPr>
        <w:t>Solicit or coerce the offering of a gift</w:t>
      </w:r>
      <w:r>
        <w:t>;</w:t>
      </w:r>
    </w:p>
    <w:p w:rsidR="00611FFC" w:rsidRDefault="00611FFC" w:rsidP="001632A5">
      <w:pPr>
        <w:pStyle w:val="BodyTextFirstIndent"/>
        <w:spacing w:after="120"/>
        <w:ind w:left="720" w:firstLine="0"/>
      </w:pPr>
      <w:r>
        <w:t>(3) Accept gifts from the same or different sources on a basis so frequent that a reasonable person would be led to believe the employee is using his public office for private gain;</w:t>
      </w:r>
    </w:p>
    <w:p w:rsidR="00611FFC" w:rsidRDefault="00611FFC" w:rsidP="001632A5">
      <w:pPr>
        <w:pStyle w:val="BodyTextFirstIndent"/>
        <w:spacing w:after="120"/>
      </w:pPr>
      <w:r>
        <w:t xml:space="preserve">(4) Accept a gift in violation of any statute; or </w:t>
      </w:r>
    </w:p>
    <w:p w:rsidR="00611FFC" w:rsidRDefault="00611FFC" w:rsidP="0014740A">
      <w:pPr>
        <w:pStyle w:val="BodyTextFirstIndent"/>
        <w:ind w:left="720" w:firstLine="0"/>
      </w:pPr>
      <w:r>
        <w:t>(5) Accept vendor promotional training contrary to applicable regulations, policies or guidance relating to the procurement of supplies and services.</w:t>
      </w:r>
      <w:r w:rsidR="00F75ABD">
        <w:rPr>
          <w:rStyle w:val="FootnoteReference"/>
        </w:rPr>
        <w:footnoteReference w:id="34"/>
      </w:r>
      <w:r>
        <w:t xml:space="preserve"> </w:t>
      </w:r>
    </w:p>
    <w:p w:rsidR="00945CF9" w:rsidRDefault="00945CF9">
      <w:r>
        <w:br w:type="page"/>
      </w:r>
    </w:p>
    <w:p w:rsidR="0014740A" w:rsidRDefault="0014740A" w:rsidP="0014740A">
      <w:pPr>
        <w:pStyle w:val="Heading2"/>
      </w:pPr>
      <w:r>
        <w:lastRenderedPageBreak/>
        <w:t>Disposition of Prohibited Gifts</w:t>
      </w:r>
    </w:p>
    <w:p w:rsidR="0014740A" w:rsidRDefault="002B3D65" w:rsidP="0014740A">
      <w:pPr>
        <w:pStyle w:val="BodyTextFirstIndent"/>
      </w:pPr>
      <w:r>
        <w:t xml:space="preserve">We understand there will be times when it is not possible or practical for a member cooperative employee to refuse a gift.  This can occur when the gift is presented publicly or perhaps is sent to the cooperative office and there is no </w:t>
      </w:r>
      <w:r w:rsidR="000064CD">
        <w:t>reasonable</w:t>
      </w:r>
      <w:r>
        <w:t xml:space="preserve"> method to decline.  In these type </w:t>
      </w:r>
      <w:r w:rsidR="000064CD">
        <w:t>situations</w:t>
      </w:r>
      <w:r>
        <w:t xml:space="preserve">, the Federal Standards </w:t>
      </w:r>
      <w:r w:rsidR="000064CD">
        <w:t>include</w:t>
      </w:r>
      <w:r>
        <w:t xml:space="preserve"> several options for </w:t>
      </w:r>
      <w:r w:rsidR="000064CD">
        <w:t>handling</w:t>
      </w:r>
      <w:r>
        <w:t>:</w:t>
      </w:r>
      <w:r w:rsidR="00CA65F0">
        <w:rPr>
          <w:rStyle w:val="FootnoteReference"/>
        </w:rPr>
        <w:footnoteReference w:id="35"/>
      </w:r>
    </w:p>
    <w:p w:rsidR="0014740A" w:rsidRDefault="0014740A" w:rsidP="002B3D65">
      <w:pPr>
        <w:pStyle w:val="BodyTextFirstIndent"/>
        <w:ind w:left="720" w:firstLine="0"/>
      </w:pPr>
      <w:r>
        <w:t xml:space="preserve">(1) Return </w:t>
      </w:r>
      <w:r w:rsidR="002B3D65">
        <w:t xml:space="preserve">the gift to the vendor/contractor </w:t>
      </w:r>
      <w:r>
        <w:t xml:space="preserve">or pay </w:t>
      </w:r>
      <w:r w:rsidR="002B3D65">
        <w:t xml:space="preserve">for </w:t>
      </w:r>
      <w:r>
        <w:t xml:space="preserve">its market value. </w:t>
      </w:r>
      <w:r w:rsidR="002B3D65">
        <w:t>When you cannot determine</w:t>
      </w:r>
      <w:r>
        <w:t xml:space="preserve"> the actual market value of an item</w:t>
      </w:r>
      <w:r w:rsidR="002B3D65">
        <w:t>, you</w:t>
      </w:r>
      <w:r>
        <w:t xml:space="preserve"> may estimate its market value by reference to the retail cost of similar items of like quality.</w:t>
      </w:r>
    </w:p>
    <w:p w:rsidR="0014740A" w:rsidRDefault="0014740A" w:rsidP="00CA65F0">
      <w:pPr>
        <w:pStyle w:val="BodyTextFirstIndent"/>
        <w:ind w:left="720" w:firstLine="0"/>
      </w:pPr>
      <w:r>
        <w:t>(2) When it is not practical to return a</w:t>
      </w:r>
      <w:r w:rsidR="002B3D65">
        <w:t>n</w:t>
      </w:r>
      <w:r>
        <w:t xml:space="preserve"> item because it is perishable, the item may, at the discretion of the employee's supervisor or an ethics official, be given to an appropriate charity, shared within the recipient's office, or destroyed.</w:t>
      </w:r>
      <w:r w:rsidR="00CA65F0">
        <w:t xml:space="preserve">  This could cover, for example, a floral arrangement sent to a </w:t>
      </w:r>
      <w:r w:rsidR="000064CD">
        <w:t>cooperative</w:t>
      </w:r>
      <w:r w:rsidR="00CA65F0">
        <w:t xml:space="preserve"> CEO/General Manager.  </w:t>
      </w:r>
    </w:p>
    <w:p w:rsidR="0014740A" w:rsidRPr="0014740A" w:rsidRDefault="0014740A" w:rsidP="00CA65F0">
      <w:pPr>
        <w:pStyle w:val="BodyTextFirstIndent"/>
        <w:ind w:left="720" w:firstLine="0"/>
      </w:pPr>
      <w:r>
        <w:t xml:space="preserve">(3) For any entertainment, favor, service, benefit or other intangible, </w:t>
      </w:r>
      <w:r w:rsidR="00CA65F0">
        <w:t xml:space="preserve">you may </w:t>
      </w:r>
      <w:r>
        <w:t xml:space="preserve">reimburse the donor the market value. </w:t>
      </w:r>
      <w:r w:rsidR="00CA65F0">
        <w:t>Note</w:t>
      </w:r>
      <w:proofErr w:type="gramStart"/>
      <w:r w:rsidR="00CA65F0">
        <w:t>,</w:t>
      </w:r>
      <w:proofErr w:type="gramEnd"/>
      <w:r w:rsidR="00CA65F0">
        <w:t xml:space="preserve"> s</w:t>
      </w:r>
      <w:r>
        <w:t>ubsequent reciprocation does not constitute reimbursement.</w:t>
      </w:r>
      <w:r w:rsidR="00CA65F0">
        <w:t xml:space="preserve">  For example, if the President of a contractor that is a "</w:t>
      </w:r>
      <w:r w:rsidR="000064CD">
        <w:t>prohibited</w:t>
      </w:r>
      <w:r w:rsidR="00CA65F0">
        <w:t xml:space="preserve"> source" pays for your dinner during an event at a cost of $60, under the Federal Standards, it does not cancel out the gift for you to simply pay for his dinner the next evening.  </w:t>
      </w:r>
    </w:p>
    <w:p w:rsidR="0032049C" w:rsidRDefault="0032049C" w:rsidP="001632A5">
      <w:pPr>
        <w:pStyle w:val="BodyTextFirstIndent"/>
        <w:spacing w:after="120"/>
        <w:ind w:left="720" w:firstLine="0"/>
      </w:pPr>
    </w:p>
    <w:p w:rsidR="0032049C" w:rsidRPr="00611FFC" w:rsidRDefault="0032049C" w:rsidP="001632A5">
      <w:pPr>
        <w:pStyle w:val="BodyTextFirstIndent"/>
        <w:spacing w:after="120"/>
        <w:ind w:left="720" w:firstLine="0"/>
      </w:pPr>
    </w:p>
    <w:p w:rsidR="00550DB1" w:rsidRDefault="00550DB1" w:rsidP="006739E3">
      <w:pPr>
        <w:jc w:val="both"/>
      </w:pPr>
    </w:p>
    <w:sectPr w:rsidR="00550DB1" w:rsidSect="005E76D7">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C4" w:rsidRDefault="003426C4" w:rsidP="00CA279D">
      <w:r>
        <w:separator/>
      </w:r>
    </w:p>
  </w:endnote>
  <w:endnote w:type="continuationSeparator" w:id="0">
    <w:p w:rsidR="003426C4" w:rsidRDefault="003426C4" w:rsidP="00CA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Book">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4E" w:rsidRDefault="003F7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6E" w:rsidRDefault="0016706E">
    <w:pPr>
      <w:pStyle w:val="Footer"/>
      <w:jc w:val="center"/>
    </w:pPr>
  </w:p>
  <w:p w:rsidR="0016706E" w:rsidRDefault="0016706E" w:rsidP="007675B7">
    <w:pPr>
      <w:pStyle w:val="Footer"/>
    </w:pPr>
  </w:p>
  <w:p w:rsidR="007716B8" w:rsidRPr="007716B8" w:rsidRDefault="007716B8" w:rsidP="003F7E4E">
    <w:pPr>
      <w:pStyle w:val="Footer"/>
      <w:rPr>
        <w:sz w:val="16"/>
      </w:rPr>
    </w:pPr>
    <w:r w:rsidRPr="007716B8">
      <w:rPr>
        <w:sz w:val="16"/>
      </w:rPr>
      <w:t xml:space="preserve">JM WSH 1469189 v4 </w:t>
    </w:r>
  </w:p>
  <w:p w:rsidR="0016706E" w:rsidRDefault="007716B8" w:rsidP="003F7E4E">
    <w:pPr>
      <w:pStyle w:val="Footer"/>
    </w:pPr>
    <w:r w:rsidRPr="007716B8">
      <w:rPr>
        <w:sz w:val="16"/>
      </w:rPr>
      <w:t>2928205-</w:t>
    </w:r>
    <w:proofErr w:type="gramStart"/>
    <w:r w:rsidRPr="007716B8">
      <w:rPr>
        <w:sz w:val="16"/>
      </w:rPr>
      <w:t>000001  01</w:t>
    </w:r>
    <w:proofErr w:type="gramEnd"/>
    <w:r w:rsidRPr="007716B8">
      <w:rPr>
        <w:sz w:val="16"/>
      </w:rPr>
      <w:t>/12/2016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6E" w:rsidRDefault="0016706E">
    <w:pPr>
      <w:pStyle w:val="Footer"/>
    </w:pPr>
  </w:p>
  <w:p w:rsidR="007716B8" w:rsidRPr="007716B8" w:rsidRDefault="007716B8" w:rsidP="003F7E4E">
    <w:pPr>
      <w:pStyle w:val="Footer"/>
      <w:rPr>
        <w:sz w:val="16"/>
      </w:rPr>
    </w:pPr>
    <w:r w:rsidRPr="007716B8">
      <w:rPr>
        <w:sz w:val="16"/>
      </w:rPr>
      <w:t xml:space="preserve">JM WSH 1469189 v4 </w:t>
    </w:r>
  </w:p>
  <w:p w:rsidR="0016706E" w:rsidRDefault="007716B8" w:rsidP="003F7E4E">
    <w:pPr>
      <w:pStyle w:val="Footer"/>
    </w:pPr>
    <w:r w:rsidRPr="007716B8">
      <w:rPr>
        <w:sz w:val="16"/>
      </w:rPr>
      <w:t>2928205-</w:t>
    </w:r>
    <w:proofErr w:type="gramStart"/>
    <w:r w:rsidRPr="007716B8">
      <w:rPr>
        <w:sz w:val="16"/>
      </w:rPr>
      <w:t>000001  01</w:t>
    </w:r>
    <w:proofErr w:type="gramEnd"/>
    <w:r w:rsidRPr="007716B8">
      <w:rPr>
        <w:sz w:val="16"/>
      </w:rPr>
      <w:t>/12/2016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C4" w:rsidRDefault="003426C4" w:rsidP="00CA279D">
      <w:r>
        <w:separator/>
      </w:r>
    </w:p>
  </w:footnote>
  <w:footnote w:type="continuationSeparator" w:id="0">
    <w:p w:rsidR="003426C4" w:rsidRDefault="003426C4" w:rsidP="00CA279D">
      <w:r>
        <w:continuationSeparator/>
      </w:r>
    </w:p>
  </w:footnote>
  <w:footnote w:id="1">
    <w:p w:rsidR="0016706E" w:rsidRPr="00F20BC6" w:rsidRDefault="0016706E" w:rsidP="00F20BC6">
      <w:pPr>
        <w:pStyle w:val="FootnoteText"/>
        <w:jc w:val="both"/>
        <w:rPr>
          <w:rFonts w:ascii="Times New Roman" w:hAnsi="Times New Roman"/>
        </w:rPr>
      </w:pPr>
      <w:r w:rsidRPr="0006592C">
        <w:rPr>
          <w:rStyle w:val="FootnoteReference"/>
          <w:rFonts w:ascii="Times New Roman" w:hAnsi="Times New Roman"/>
        </w:rPr>
        <w:footnoteRef/>
      </w:r>
      <w:r w:rsidRPr="0006592C">
        <w:rPr>
          <w:rFonts w:ascii="Times New Roman" w:hAnsi="Times New Roman"/>
        </w:rPr>
        <w:t xml:space="preserve"> </w:t>
      </w:r>
      <w:r w:rsidRPr="00F20BC6">
        <w:rPr>
          <w:rFonts w:ascii="Times New Roman" w:hAnsi="Times New Roman"/>
        </w:rPr>
        <w:t xml:space="preserve">Promulgated by </w:t>
      </w:r>
      <w:proofErr w:type="gramStart"/>
      <w:r w:rsidRPr="00F20BC6">
        <w:rPr>
          <w:rFonts w:ascii="Times New Roman" w:hAnsi="Times New Roman"/>
        </w:rPr>
        <w:t>the  Office</w:t>
      </w:r>
      <w:proofErr w:type="gramEnd"/>
      <w:r w:rsidRPr="00F20BC6">
        <w:rPr>
          <w:rFonts w:ascii="Times New Roman" w:hAnsi="Times New Roman"/>
        </w:rPr>
        <w:t xml:space="preserve"> of Management and Budget ("OMB") on behalf of all federal agencies in 78 F</w:t>
      </w:r>
      <w:r>
        <w:rPr>
          <w:rFonts w:ascii="Times New Roman" w:hAnsi="Times New Roman"/>
        </w:rPr>
        <w:t xml:space="preserve">ed. Reg. </w:t>
      </w:r>
      <w:r w:rsidRPr="00F20BC6">
        <w:rPr>
          <w:rFonts w:ascii="Times New Roman" w:hAnsi="Times New Roman"/>
        </w:rPr>
        <w:t>785</w:t>
      </w:r>
      <w:r>
        <w:rPr>
          <w:rFonts w:ascii="Times New Roman" w:hAnsi="Times New Roman"/>
        </w:rPr>
        <w:t>89</w:t>
      </w:r>
      <w:r w:rsidRPr="00F20BC6">
        <w:rPr>
          <w:rFonts w:ascii="Times New Roman" w:hAnsi="Times New Roman"/>
        </w:rPr>
        <w:t xml:space="preserve">, Dec. 26, 2013. </w:t>
      </w:r>
    </w:p>
  </w:footnote>
  <w:footnote w:id="2">
    <w:p w:rsidR="0016706E" w:rsidRPr="00F20BC6" w:rsidRDefault="0016706E" w:rsidP="00F20BC6">
      <w:pPr>
        <w:pStyle w:val="FootnoteText"/>
        <w:jc w:val="both"/>
        <w:rPr>
          <w:rFonts w:ascii="Times New Roman" w:hAnsi="Times New Roman"/>
        </w:rPr>
      </w:pPr>
      <w:r w:rsidRPr="00F20BC6">
        <w:rPr>
          <w:rStyle w:val="FootnoteReference"/>
          <w:rFonts w:ascii="Times New Roman" w:hAnsi="Times New Roman"/>
        </w:rPr>
        <w:footnoteRef/>
      </w:r>
      <w:r w:rsidRPr="00F20BC6">
        <w:rPr>
          <w:rFonts w:ascii="Times New Roman" w:hAnsi="Times New Roman"/>
        </w:rPr>
        <w:t xml:space="preserve"> </w:t>
      </w:r>
      <w:r w:rsidR="004875E7">
        <w:rPr>
          <w:rFonts w:ascii="Times New Roman" w:hAnsi="Times New Roman"/>
        </w:rPr>
        <w:t>T</w:t>
      </w:r>
      <w:r w:rsidRPr="00F20BC6">
        <w:rPr>
          <w:rFonts w:ascii="Times New Roman" w:hAnsi="Times New Roman"/>
        </w:rPr>
        <w:t xml:space="preserve">he Super Circular is effective for all disasters declared on or after December 26, 2014.  However, the Super Circular provides a grace period with respect to procurement standards that allows non-Federal entities to continue to apply procurement standards in previous OMB guidance for one additional fiscal year after the Super Circular went into effect, as long as provided for within the non-Federal entity's written procurement standards.  In this situation, and in the case of any disaster declared prior to December 26, 2014, the applicable procurement guidance would be found within 2 C.F.R. Part 215.  For purposes of our analysis, the language of the applicable regulation is substantially similar, and would not impact </w:t>
      </w:r>
      <w:r w:rsidR="004875E7">
        <w:rPr>
          <w:rFonts w:ascii="Times New Roman" w:hAnsi="Times New Roman"/>
        </w:rPr>
        <w:t>our</w:t>
      </w:r>
      <w:r w:rsidRPr="00F20BC6">
        <w:rPr>
          <w:rFonts w:ascii="Times New Roman" w:hAnsi="Times New Roman"/>
        </w:rPr>
        <w:t xml:space="preserve"> recommendations, so the Super Circular citations will be used.    </w:t>
      </w:r>
    </w:p>
  </w:footnote>
  <w:footnote w:id="3">
    <w:p w:rsidR="0016706E" w:rsidRDefault="0016706E" w:rsidP="006739E3">
      <w:pPr>
        <w:pStyle w:val="FootnoteText"/>
        <w:jc w:val="both"/>
      </w:pPr>
      <w:r>
        <w:rPr>
          <w:rStyle w:val="FootnoteReference"/>
        </w:rPr>
        <w:footnoteRef/>
      </w:r>
      <w:r>
        <w:t xml:space="preserve"> </w:t>
      </w:r>
      <w:r w:rsidRPr="00DC0340">
        <w:t xml:space="preserve">OMB Circulars </w:t>
      </w:r>
      <w:r>
        <w:t xml:space="preserve">on Cost Principles </w:t>
      </w:r>
      <w:r w:rsidRPr="00DC0340">
        <w:t>A-21</w:t>
      </w:r>
      <w:r>
        <w:t xml:space="preserve"> (Educational Institutions)</w:t>
      </w:r>
      <w:r w:rsidRPr="00DC0340">
        <w:t>, A-87</w:t>
      </w:r>
      <w:r>
        <w:t xml:space="preserve"> (State, Local, and Indian Tribal Governments)</w:t>
      </w:r>
      <w:r w:rsidRPr="00DC0340">
        <w:t>, and A-122</w:t>
      </w:r>
      <w:r>
        <w:t xml:space="preserve"> (Non-Profits); Circular</w:t>
      </w:r>
      <w:r w:rsidRPr="00DC0340">
        <w:t xml:space="preserve"> A-89 </w:t>
      </w:r>
      <w:r>
        <w:t xml:space="preserve">on Federal Domestic Assistance Program Information; </w:t>
      </w:r>
      <w:r w:rsidRPr="00DC0340">
        <w:t>A-133</w:t>
      </w:r>
      <w:r>
        <w:t xml:space="preserve"> (Audits of States, Local Governments and Non-Profit Organizations);</w:t>
      </w:r>
      <w:r w:rsidRPr="00DC0340">
        <w:t xml:space="preserve"> and the guidance in Circular A-50 on Single Audit Act follow-up.</w:t>
      </w:r>
    </w:p>
  </w:footnote>
  <w:footnote w:id="4">
    <w:p w:rsidR="0016706E" w:rsidRDefault="0016706E" w:rsidP="006739E3">
      <w:pPr>
        <w:pStyle w:val="FootnoteText"/>
        <w:jc w:val="both"/>
      </w:pPr>
      <w:r>
        <w:rPr>
          <w:rStyle w:val="FootnoteReference"/>
        </w:rPr>
        <w:footnoteRef/>
      </w:r>
      <w:r>
        <w:t xml:space="preserve"> </w:t>
      </w:r>
      <w:proofErr w:type="gramStart"/>
      <w:r>
        <w:t>2 C.F.R. § 200.69.</w:t>
      </w:r>
      <w:proofErr w:type="gramEnd"/>
    </w:p>
  </w:footnote>
  <w:footnote w:id="5">
    <w:p w:rsidR="0016706E" w:rsidRDefault="0016706E" w:rsidP="006739E3">
      <w:pPr>
        <w:pStyle w:val="FootnoteText"/>
        <w:jc w:val="both"/>
      </w:pPr>
      <w:r>
        <w:rPr>
          <w:rStyle w:val="FootnoteReference"/>
        </w:rPr>
        <w:footnoteRef/>
      </w:r>
      <w:r>
        <w:t xml:space="preserve"> O</w:t>
      </w:r>
      <w:r w:rsidRPr="00A66ADB">
        <w:t xml:space="preserve">r in 44 C.F.R. § 13.36/2 C.F.R. </w:t>
      </w:r>
      <w:r>
        <w:t xml:space="preserve">§§ </w:t>
      </w:r>
      <w:r w:rsidRPr="00A66ADB">
        <w:t>215</w:t>
      </w:r>
      <w:r>
        <w:t>.40-48</w:t>
      </w:r>
      <w:r w:rsidRPr="00A66ADB">
        <w:t xml:space="preserve"> for disasters decl</w:t>
      </w:r>
      <w:r>
        <w:t xml:space="preserve">ared prior to December 26, 2014.  </w:t>
      </w:r>
    </w:p>
  </w:footnote>
  <w:footnote w:id="6">
    <w:p w:rsidR="0016706E" w:rsidRDefault="0016706E" w:rsidP="006739E3">
      <w:pPr>
        <w:pStyle w:val="FootnoteText"/>
        <w:jc w:val="both"/>
      </w:pPr>
      <w:r>
        <w:rPr>
          <w:rStyle w:val="FootnoteReference"/>
        </w:rPr>
        <w:footnoteRef/>
      </w:r>
      <w:r>
        <w:t xml:space="preserve"> 2 C.F.R. § 200.318(c</w:t>
      </w:r>
      <w:proofErr w:type="gramStart"/>
      <w:r>
        <w:t>)(</w:t>
      </w:r>
      <w:proofErr w:type="gramEnd"/>
      <w:r>
        <w:t xml:space="preserve">1). </w:t>
      </w:r>
    </w:p>
  </w:footnote>
  <w:footnote w:id="7">
    <w:p w:rsidR="0016706E" w:rsidRDefault="0016706E" w:rsidP="006739E3">
      <w:pPr>
        <w:pStyle w:val="FootnoteText"/>
        <w:jc w:val="both"/>
      </w:pPr>
      <w:r>
        <w:rPr>
          <w:rStyle w:val="FootnoteReference"/>
        </w:rPr>
        <w:footnoteRef/>
      </w:r>
      <w:r>
        <w:t xml:space="preserve"> </w:t>
      </w:r>
      <w:r w:rsidRPr="00840E5D">
        <w:rPr>
          <w:i/>
        </w:rPr>
        <w:t>Id.</w:t>
      </w:r>
      <w:r>
        <w:t xml:space="preserve"> </w:t>
      </w:r>
    </w:p>
  </w:footnote>
  <w:footnote w:id="8">
    <w:p w:rsidR="0016706E" w:rsidRPr="009E4FC1" w:rsidRDefault="0016706E" w:rsidP="006739E3">
      <w:pPr>
        <w:pStyle w:val="FootnoteText"/>
        <w:jc w:val="both"/>
        <w:rPr>
          <w:i/>
        </w:rPr>
      </w:pPr>
      <w:r>
        <w:rPr>
          <w:rStyle w:val="FootnoteReference"/>
        </w:rPr>
        <w:footnoteRef/>
      </w:r>
      <w:r>
        <w:t xml:space="preserve"> </w:t>
      </w:r>
      <w:r>
        <w:rPr>
          <w:i/>
        </w:rPr>
        <w:t xml:space="preserve">Id. </w:t>
      </w:r>
    </w:p>
  </w:footnote>
  <w:footnote w:id="9">
    <w:p w:rsidR="0016706E" w:rsidRDefault="0016706E" w:rsidP="006739E3">
      <w:pPr>
        <w:pStyle w:val="FootnoteText"/>
        <w:jc w:val="both"/>
      </w:pPr>
      <w:r>
        <w:rPr>
          <w:rStyle w:val="FootnoteReference"/>
        </w:rPr>
        <w:footnoteRef/>
      </w:r>
      <w:r>
        <w:t xml:space="preserve"> </w:t>
      </w:r>
      <w:r w:rsidRPr="00DE0ACE">
        <w:t>2 C.F.R. § 200.318, General procurement standards, (c</w:t>
      </w:r>
      <w:proofErr w:type="gramStart"/>
      <w:r>
        <w:t>)(</w:t>
      </w:r>
      <w:proofErr w:type="gramEnd"/>
      <w:r>
        <w:t xml:space="preserve">1). </w:t>
      </w:r>
      <w:r w:rsidRPr="00B36B78">
        <w:t>Emphasis added.</w:t>
      </w:r>
    </w:p>
  </w:footnote>
  <w:footnote w:id="10">
    <w:p w:rsidR="0016706E" w:rsidRDefault="0016706E" w:rsidP="006739E3">
      <w:pPr>
        <w:pStyle w:val="FootnoteText"/>
        <w:jc w:val="both"/>
      </w:pPr>
      <w:r>
        <w:rPr>
          <w:rStyle w:val="FootnoteReference"/>
        </w:rPr>
        <w:footnoteRef/>
      </w:r>
      <w:r>
        <w:t xml:space="preserve"> </w:t>
      </w:r>
      <w:r w:rsidRPr="00BA0B9A">
        <w:t xml:space="preserve">FEMA Field Manual, Public Assistance Grantee and </w:t>
      </w:r>
      <w:proofErr w:type="spellStart"/>
      <w:r w:rsidRPr="00BA0B9A">
        <w:t>Subgrantee</w:t>
      </w:r>
      <w:proofErr w:type="spellEnd"/>
      <w:r w:rsidRPr="00BA0B9A">
        <w:t xml:space="preserve"> Procurement Requirements Under 44 C.F.R. PT. 13 and 2 C.F.R. PT. 215, FEMA Office of Chief Counsel, Procurement Disaster Assistance Team, December 2014</w:t>
      </w:r>
      <w:r>
        <w:t xml:space="preserve"> at Page 102.  Note</w:t>
      </w:r>
      <w:proofErr w:type="gramStart"/>
      <w:r>
        <w:t>,</w:t>
      </w:r>
      <w:proofErr w:type="gramEnd"/>
      <w:r>
        <w:t xml:space="preserve"> this Manual was prepared specifically as an aid to interpret regulations that preceded the Super Circular.  However, the specific regulation at issue, 2 C.F.R. § 300.318</w:t>
      </w:r>
      <w:r w:rsidR="006E087B">
        <w:t>,</w:t>
      </w:r>
      <w:r>
        <w:t xml:space="preserve"> is nearly identical to the previous 44 C.F.R. § </w:t>
      </w:r>
      <w:r w:rsidRPr="00090FA2">
        <w:t>13.36(b</w:t>
      </w:r>
      <w:proofErr w:type="gramStart"/>
      <w:r w:rsidRPr="00090FA2">
        <w:t>)(</w:t>
      </w:r>
      <w:proofErr w:type="gramEnd"/>
      <w:r w:rsidRPr="00090FA2">
        <w:t>3)(4)</w:t>
      </w:r>
      <w:r>
        <w:t xml:space="preserve"> and</w:t>
      </w:r>
      <w:r w:rsidRPr="00090FA2">
        <w:t xml:space="preserve"> 2 C</w:t>
      </w:r>
      <w:r>
        <w:t>.</w:t>
      </w:r>
      <w:r w:rsidRPr="00090FA2">
        <w:t>F</w:t>
      </w:r>
      <w:r>
        <w:t>.</w:t>
      </w:r>
      <w:r w:rsidRPr="00090FA2">
        <w:t>R</w:t>
      </w:r>
      <w:r>
        <w:t>.</w:t>
      </w:r>
      <w:r w:rsidRPr="00090FA2">
        <w:t xml:space="preserve"> </w:t>
      </w:r>
      <w:r>
        <w:t xml:space="preserve">§ </w:t>
      </w:r>
      <w:r w:rsidRPr="00090FA2">
        <w:t>215.42</w:t>
      </w:r>
      <w:r>
        <w:t>.</w:t>
      </w:r>
    </w:p>
  </w:footnote>
  <w:footnote w:id="11">
    <w:p w:rsidR="0016706E" w:rsidRDefault="0016706E" w:rsidP="006739E3">
      <w:pPr>
        <w:pStyle w:val="FootnoteText"/>
        <w:jc w:val="both"/>
      </w:pPr>
      <w:r>
        <w:rPr>
          <w:rStyle w:val="FootnoteReference"/>
        </w:rPr>
        <w:footnoteRef/>
      </w:r>
      <w:r>
        <w:t xml:space="preserve"> 5 C.F.R. § 2635, </w:t>
      </w:r>
      <w:r w:rsidRPr="0098471A">
        <w:t xml:space="preserve">Standards of </w:t>
      </w:r>
      <w:r>
        <w:t xml:space="preserve">Ethical </w:t>
      </w:r>
      <w:r w:rsidRPr="0098471A">
        <w:t>Conduct for Employees of the Executive Branch</w:t>
      </w:r>
      <w:r>
        <w:t xml:space="preserve">, at Part B, Gifts from Outside Sources, Sections 201-205. </w:t>
      </w:r>
    </w:p>
  </w:footnote>
  <w:footnote w:id="12">
    <w:p w:rsidR="0016706E" w:rsidRDefault="0016706E">
      <w:pPr>
        <w:pStyle w:val="FootnoteText"/>
      </w:pPr>
      <w:r>
        <w:rPr>
          <w:rStyle w:val="FootnoteReference"/>
        </w:rPr>
        <w:footnoteRef/>
      </w:r>
      <w:r>
        <w:t xml:space="preserve"> </w:t>
      </w:r>
      <w:proofErr w:type="gramStart"/>
      <w:r>
        <w:t>5 C.F.R. § 2635.202(a).</w:t>
      </w:r>
      <w:proofErr w:type="gramEnd"/>
      <w:r w:rsidR="0032049C">
        <w:t xml:space="preserve"> Emphasis added.</w:t>
      </w:r>
    </w:p>
  </w:footnote>
  <w:footnote w:id="13">
    <w:p w:rsidR="0016706E" w:rsidRDefault="0016706E" w:rsidP="006739E3">
      <w:pPr>
        <w:pStyle w:val="FootnoteText"/>
        <w:jc w:val="both"/>
      </w:pPr>
      <w:r>
        <w:rPr>
          <w:rStyle w:val="FootnoteReference"/>
        </w:rPr>
        <w:footnoteRef/>
      </w:r>
      <w:r>
        <w:t xml:space="preserve"> </w:t>
      </w:r>
      <w:proofErr w:type="gramStart"/>
      <w:r>
        <w:t>5 C.F.R. § 2635.203(b).</w:t>
      </w:r>
      <w:proofErr w:type="gramEnd"/>
    </w:p>
  </w:footnote>
  <w:footnote w:id="14">
    <w:p w:rsidR="0016706E" w:rsidRPr="00BF6AEC" w:rsidRDefault="0016706E">
      <w:pPr>
        <w:pStyle w:val="FootnoteText"/>
        <w:rPr>
          <w:i/>
        </w:rPr>
      </w:pPr>
      <w:r>
        <w:rPr>
          <w:rStyle w:val="FootnoteReference"/>
        </w:rPr>
        <w:footnoteRef/>
      </w:r>
      <w:r>
        <w:t xml:space="preserve"> </w:t>
      </w:r>
      <w:r>
        <w:rPr>
          <w:i/>
        </w:rPr>
        <w:t xml:space="preserve">Id. </w:t>
      </w:r>
    </w:p>
  </w:footnote>
  <w:footnote w:id="15">
    <w:p w:rsidR="0016706E" w:rsidRPr="00BF6AEC" w:rsidRDefault="0016706E" w:rsidP="00B21592">
      <w:pPr>
        <w:pStyle w:val="FootnoteText"/>
      </w:pPr>
      <w:r>
        <w:rPr>
          <w:rStyle w:val="FootnoteReference"/>
        </w:rPr>
        <w:footnoteRef/>
      </w:r>
      <w:r>
        <w:t xml:space="preserve"> </w:t>
      </w:r>
      <w:proofErr w:type="gramStart"/>
      <w:r>
        <w:t>5 C.F.R. § 2635.203(b).</w:t>
      </w:r>
      <w:proofErr w:type="gramEnd"/>
      <w:r>
        <w:rPr>
          <w:i/>
        </w:rPr>
        <w:t xml:space="preserve"> </w:t>
      </w:r>
    </w:p>
  </w:footnote>
  <w:footnote w:id="16">
    <w:p w:rsidR="0016706E" w:rsidRDefault="0016706E">
      <w:pPr>
        <w:pStyle w:val="FootnoteText"/>
      </w:pPr>
      <w:r>
        <w:rPr>
          <w:rStyle w:val="FootnoteReference"/>
        </w:rPr>
        <w:footnoteRef/>
      </w:r>
      <w:r>
        <w:t xml:space="preserve"> </w:t>
      </w:r>
      <w:proofErr w:type="gramStart"/>
      <w:r>
        <w:t>5 C.F.R. § 2635.203(e</w:t>
      </w:r>
      <w:r w:rsidRPr="000B60DF">
        <w:t>).</w:t>
      </w:r>
      <w:proofErr w:type="gramEnd"/>
    </w:p>
  </w:footnote>
  <w:footnote w:id="17">
    <w:p w:rsidR="006331DD" w:rsidRDefault="006331DD">
      <w:pPr>
        <w:pStyle w:val="FootnoteText"/>
      </w:pPr>
      <w:r>
        <w:rPr>
          <w:rStyle w:val="FootnoteReference"/>
        </w:rPr>
        <w:footnoteRef/>
      </w:r>
      <w:r>
        <w:t xml:space="preserve"> </w:t>
      </w:r>
      <w:proofErr w:type="gramStart"/>
      <w:r>
        <w:t>5 C.F.R. § 2635.203(f</w:t>
      </w:r>
      <w:r w:rsidRPr="000B60DF">
        <w:t>).</w:t>
      </w:r>
      <w:proofErr w:type="gramEnd"/>
    </w:p>
  </w:footnote>
  <w:footnote w:id="18">
    <w:p w:rsidR="0016706E" w:rsidRDefault="0016706E" w:rsidP="0071092D">
      <w:pPr>
        <w:pStyle w:val="FootnoteText"/>
      </w:pPr>
      <w:r>
        <w:rPr>
          <w:rStyle w:val="FootnoteReference"/>
        </w:rPr>
        <w:footnoteRef/>
      </w:r>
      <w:r>
        <w:t xml:space="preserve"> </w:t>
      </w:r>
      <w:proofErr w:type="gramStart"/>
      <w:r>
        <w:t>5 C.F.R. § 2635.203(d).</w:t>
      </w:r>
      <w:proofErr w:type="gramEnd"/>
      <w:r>
        <w:t xml:space="preserve"> </w:t>
      </w:r>
    </w:p>
  </w:footnote>
  <w:footnote w:id="19">
    <w:p w:rsidR="00130E9E" w:rsidRDefault="00130E9E">
      <w:pPr>
        <w:pStyle w:val="FootnoteText"/>
      </w:pPr>
      <w:r>
        <w:rPr>
          <w:rStyle w:val="FootnoteReference"/>
        </w:rPr>
        <w:footnoteRef/>
      </w:r>
      <w:r>
        <w:t xml:space="preserve"> We note that if vendors provide funding to </w:t>
      </w:r>
      <w:r w:rsidRPr="00130E9E">
        <w:t>NRECA</w:t>
      </w:r>
      <w:r>
        <w:t xml:space="preserve"> </w:t>
      </w:r>
      <w:r w:rsidR="00945CF9">
        <w:t>for</w:t>
      </w:r>
      <w:r>
        <w:t xml:space="preserve"> sponsorship of events, and NRECA invites member coop</w:t>
      </w:r>
      <w:r w:rsidR="00945CF9">
        <w:t>erative</w:t>
      </w:r>
      <w:r>
        <w:t xml:space="preserve"> officers and employees to those events, </w:t>
      </w:r>
      <w:r w:rsidR="00945CF9">
        <w:t xml:space="preserve">acceptance of </w:t>
      </w:r>
      <w:r>
        <w:t xml:space="preserve">the invitation </w:t>
      </w:r>
      <w:r w:rsidRPr="00130E9E">
        <w:t>would not be prohibited</w:t>
      </w:r>
      <w:r>
        <w:t xml:space="preserve"> because NRECA itself receives no federal grants, and </w:t>
      </w:r>
      <w:proofErr w:type="gramStart"/>
      <w:r>
        <w:t>is</w:t>
      </w:r>
      <w:proofErr w:type="gramEnd"/>
      <w:r>
        <w:t xml:space="preserve"> not a “prohibited source” under the regulations.  NRECA </w:t>
      </w:r>
      <w:r w:rsidRPr="00130E9E">
        <w:t xml:space="preserve">is not seeking official action or seeking to do business with the cooperatives in the manner contemplated by the regulation. NRECA also does not conduct activities regulated by its member cooperatives, does not have interests affected by performance of the cooperative (as contemplated by this section), and is not an organization made up of members who would fall into these type categories with respect to its member cooperatives.   </w:t>
      </w:r>
    </w:p>
  </w:footnote>
  <w:footnote w:id="20">
    <w:p w:rsidR="0016706E" w:rsidRDefault="0016706E">
      <w:pPr>
        <w:pStyle w:val="FootnoteText"/>
      </w:pPr>
      <w:r>
        <w:rPr>
          <w:rStyle w:val="FootnoteReference"/>
        </w:rPr>
        <w:footnoteRef/>
      </w:r>
      <w:r>
        <w:t xml:space="preserve"> </w:t>
      </w:r>
      <w:proofErr w:type="gramStart"/>
      <w:r w:rsidRPr="00F75ABD">
        <w:t>5 C.F.R. § 2635.20</w:t>
      </w:r>
      <w:r>
        <w:t>4(a)</w:t>
      </w:r>
      <w:r w:rsidRPr="00F75ABD">
        <w:t>.</w:t>
      </w:r>
      <w:proofErr w:type="gramEnd"/>
      <w:r w:rsidR="006421EE">
        <w:t xml:space="preserve"> Emphasis added.</w:t>
      </w:r>
    </w:p>
  </w:footnote>
  <w:footnote w:id="21">
    <w:p w:rsidR="00A601E2" w:rsidRDefault="00A601E2">
      <w:pPr>
        <w:pStyle w:val="FootnoteText"/>
      </w:pPr>
      <w:r>
        <w:rPr>
          <w:rStyle w:val="FootnoteReference"/>
        </w:rPr>
        <w:footnoteRef/>
      </w:r>
      <w:r>
        <w:t xml:space="preserve"> </w:t>
      </w:r>
      <w:proofErr w:type="gramStart"/>
      <w:r w:rsidRPr="00F75ABD">
        <w:t>5 C.F.R. § 2635.20</w:t>
      </w:r>
      <w:r>
        <w:t>3(c)</w:t>
      </w:r>
      <w:r w:rsidRPr="00F75ABD">
        <w:t>.</w:t>
      </w:r>
      <w:proofErr w:type="gramEnd"/>
    </w:p>
  </w:footnote>
  <w:footnote w:id="22">
    <w:p w:rsidR="0016706E" w:rsidRDefault="0016706E">
      <w:pPr>
        <w:pStyle w:val="FootnoteText"/>
      </w:pPr>
      <w:r>
        <w:rPr>
          <w:rStyle w:val="FootnoteReference"/>
        </w:rPr>
        <w:footnoteRef/>
      </w:r>
      <w:r>
        <w:t xml:space="preserve"> </w:t>
      </w:r>
      <w:proofErr w:type="gramStart"/>
      <w:r w:rsidRPr="00F75ABD">
        <w:t>5 C.F.R. § 2635.20</w:t>
      </w:r>
      <w:r>
        <w:t>4(b)</w:t>
      </w:r>
      <w:r w:rsidRPr="00F75ABD">
        <w:t>.</w:t>
      </w:r>
      <w:proofErr w:type="gramEnd"/>
    </w:p>
  </w:footnote>
  <w:footnote w:id="23">
    <w:p w:rsidR="0016706E" w:rsidRDefault="0016706E">
      <w:pPr>
        <w:pStyle w:val="FootnoteText"/>
      </w:pPr>
      <w:r>
        <w:rPr>
          <w:rStyle w:val="FootnoteReference"/>
        </w:rPr>
        <w:footnoteRef/>
      </w:r>
      <w:r>
        <w:t xml:space="preserve"> </w:t>
      </w:r>
      <w:proofErr w:type="gramStart"/>
      <w:r w:rsidRPr="00CA63A0">
        <w:t>5 C.F.R. § 2635.204(</w:t>
      </w:r>
      <w:r>
        <w:t>c</w:t>
      </w:r>
      <w:r w:rsidRPr="00CA63A0">
        <w:t>).</w:t>
      </w:r>
      <w:proofErr w:type="gramEnd"/>
    </w:p>
  </w:footnote>
  <w:footnote w:id="24">
    <w:p w:rsidR="0016706E" w:rsidRDefault="0016706E">
      <w:pPr>
        <w:pStyle w:val="FootnoteText"/>
      </w:pPr>
      <w:r>
        <w:rPr>
          <w:rStyle w:val="FootnoteReference"/>
        </w:rPr>
        <w:footnoteRef/>
      </w:r>
      <w:r>
        <w:t xml:space="preserve"> </w:t>
      </w:r>
      <w:proofErr w:type="gramStart"/>
      <w:r w:rsidRPr="00860A26">
        <w:t>5 C.F.R. § 2635.204(</w:t>
      </w:r>
      <w:r>
        <w:t>d</w:t>
      </w:r>
      <w:r w:rsidRPr="00860A26">
        <w:t>).</w:t>
      </w:r>
      <w:proofErr w:type="gramEnd"/>
    </w:p>
  </w:footnote>
  <w:footnote w:id="25">
    <w:p w:rsidR="0016706E" w:rsidRDefault="0016706E">
      <w:pPr>
        <w:pStyle w:val="FootnoteText"/>
      </w:pPr>
      <w:r>
        <w:rPr>
          <w:rStyle w:val="FootnoteReference"/>
        </w:rPr>
        <w:footnoteRef/>
      </w:r>
      <w:r>
        <w:t xml:space="preserve"> </w:t>
      </w:r>
      <w:proofErr w:type="gramStart"/>
      <w:r w:rsidRPr="00C003A5">
        <w:t>5 C.F.R. § 2635.204(</w:t>
      </w:r>
      <w:r>
        <w:t>e</w:t>
      </w:r>
      <w:r w:rsidRPr="00C003A5">
        <w:t>).</w:t>
      </w:r>
      <w:proofErr w:type="gramEnd"/>
    </w:p>
  </w:footnote>
  <w:footnote w:id="26">
    <w:p w:rsidR="0016706E" w:rsidRDefault="0016706E">
      <w:pPr>
        <w:pStyle w:val="FootnoteText"/>
      </w:pPr>
      <w:r>
        <w:rPr>
          <w:rStyle w:val="FootnoteReference"/>
        </w:rPr>
        <w:footnoteRef/>
      </w:r>
      <w:r>
        <w:t xml:space="preserve"> </w:t>
      </w:r>
      <w:proofErr w:type="gramStart"/>
      <w:r>
        <w:t>5 C.F.R. § 2635.204(g</w:t>
      </w:r>
      <w:r w:rsidRPr="00C003A5">
        <w:t>).</w:t>
      </w:r>
      <w:proofErr w:type="gramEnd"/>
    </w:p>
  </w:footnote>
  <w:footnote w:id="27">
    <w:p w:rsidR="0016706E" w:rsidRDefault="0016706E">
      <w:pPr>
        <w:pStyle w:val="FootnoteText"/>
      </w:pPr>
      <w:r>
        <w:rPr>
          <w:rStyle w:val="FootnoteReference"/>
        </w:rPr>
        <w:footnoteRef/>
      </w:r>
      <w:r>
        <w:t xml:space="preserve"> </w:t>
      </w:r>
      <w:proofErr w:type="gramStart"/>
      <w:r>
        <w:rPr>
          <w:i/>
        </w:rPr>
        <w:t xml:space="preserve">Id. </w:t>
      </w:r>
      <w:r w:rsidRPr="00CA1D82">
        <w:t xml:space="preserve">at </w:t>
      </w:r>
      <w:r>
        <w:t>(1)</w:t>
      </w:r>
      <w:r w:rsidRPr="00C003A5">
        <w:t>.</w:t>
      </w:r>
      <w:proofErr w:type="gramEnd"/>
    </w:p>
  </w:footnote>
  <w:footnote w:id="28">
    <w:p w:rsidR="0016706E" w:rsidRDefault="0016706E">
      <w:pPr>
        <w:pStyle w:val="FootnoteText"/>
      </w:pPr>
      <w:r>
        <w:rPr>
          <w:rStyle w:val="FootnoteReference"/>
        </w:rPr>
        <w:footnoteRef/>
      </w:r>
      <w:r>
        <w:t xml:space="preserve"> </w:t>
      </w:r>
      <w:proofErr w:type="gramStart"/>
      <w:r>
        <w:rPr>
          <w:i/>
        </w:rPr>
        <w:t xml:space="preserve">Id. </w:t>
      </w:r>
      <w:r w:rsidRPr="00CA1D82">
        <w:t xml:space="preserve">at </w:t>
      </w:r>
      <w:r>
        <w:t>(2)</w:t>
      </w:r>
      <w:r w:rsidRPr="00C003A5">
        <w:t>.</w:t>
      </w:r>
      <w:proofErr w:type="gramEnd"/>
    </w:p>
  </w:footnote>
  <w:footnote w:id="29">
    <w:p w:rsidR="0016706E" w:rsidRDefault="0016706E">
      <w:pPr>
        <w:pStyle w:val="FootnoteText"/>
      </w:pPr>
      <w:r>
        <w:rPr>
          <w:rStyle w:val="FootnoteReference"/>
        </w:rPr>
        <w:footnoteRef/>
      </w:r>
      <w:r>
        <w:t xml:space="preserve"> </w:t>
      </w:r>
      <w:proofErr w:type="gramStart"/>
      <w:r>
        <w:rPr>
          <w:i/>
        </w:rPr>
        <w:t xml:space="preserve">Id. </w:t>
      </w:r>
      <w:r w:rsidRPr="00CA1D82">
        <w:t xml:space="preserve">at </w:t>
      </w:r>
      <w:r>
        <w:t>(3)</w:t>
      </w:r>
      <w:r w:rsidRPr="00C003A5">
        <w:t>.</w:t>
      </w:r>
      <w:proofErr w:type="gramEnd"/>
    </w:p>
  </w:footnote>
  <w:footnote w:id="30">
    <w:p w:rsidR="0016706E" w:rsidRDefault="0016706E">
      <w:pPr>
        <w:pStyle w:val="FootnoteText"/>
      </w:pPr>
      <w:r>
        <w:rPr>
          <w:rStyle w:val="FootnoteReference"/>
        </w:rPr>
        <w:footnoteRef/>
      </w:r>
      <w:r>
        <w:t xml:space="preserve"> </w:t>
      </w:r>
      <w:proofErr w:type="gramStart"/>
      <w:r>
        <w:rPr>
          <w:i/>
        </w:rPr>
        <w:t xml:space="preserve">Id. </w:t>
      </w:r>
      <w:r w:rsidRPr="00CA1D82">
        <w:t xml:space="preserve">at </w:t>
      </w:r>
      <w:r>
        <w:t>(4)</w:t>
      </w:r>
      <w:r w:rsidRPr="00C003A5">
        <w:t>.</w:t>
      </w:r>
      <w:proofErr w:type="gramEnd"/>
    </w:p>
  </w:footnote>
  <w:footnote w:id="31">
    <w:p w:rsidR="005D6EB7" w:rsidRDefault="005D6EB7">
      <w:pPr>
        <w:pStyle w:val="FootnoteText"/>
      </w:pPr>
      <w:r>
        <w:rPr>
          <w:rStyle w:val="FootnoteReference"/>
        </w:rPr>
        <w:footnoteRef/>
      </w:r>
      <w:r>
        <w:t xml:space="preserve"> </w:t>
      </w:r>
      <w:proofErr w:type="gramStart"/>
      <w:r>
        <w:rPr>
          <w:i/>
        </w:rPr>
        <w:t xml:space="preserve">Id. </w:t>
      </w:r>
      <w:r w:rsidRPr="00CA1D82">
        <w:t>at</w:t>
      </w:r>
      <w:r>
        <w:t xml:space="preserve"> (5).</w:t>
      </w:r>
      <w:proofErr w:type="gramEnd"/>
      <w:r>
        <w:t xml:space="preserve"> Emphasis added.</w:t>
      </w:r>
    </w:p>
  </w:footnote>
  <w:footnote w:id="32">
    <w:p w:rsidR="005D6EB7" w:rsidRPr="00C00A64" w:rsidRDefault="005D6EB7">
      <w:pPr>
        <w:pStyle w:val="FootnoteText"/>
        <w:rPr>
          <w:i/>
        </w:rPr>
      </w:pPr>
      <w:r>
        <w:rPr>
          <w:rStyle w:val="FootnoteReference"/>
        </w:rPr>
        <w:footnoteRef/>
      </w:r>
      <w:r>
        <w:t xml:space="preserve"> </w:t>
      </w:r>
      <w:r>
        <w:rPr>
          <w:i/>
        </w:rPr>
        <w:t xml:space="preserve">Id. </w:t>
      </w:r>
      <w:r w:rsidRPr="00C00A64">
        <w:t>Emphasis added.</w:t>
      </w:r>
      <w:r>
        <w:rPr>
          <w:i/>
        </w:rPr>
        <w:t xml:space="preserve"> </w:t>
      </w:r>
    </w:p>
  </w:footnote>
  <w:footnote w:id="33">
    <w:p w:rsidR="0016706E" w:rsidRDefault="0016706E" w:rsidP="009B7A6F">
      <w:pPr>
        <w:pStyle w:val="FootnoteText"/>
      </w:pPr>
      <w:r>
        <w:rPr>
          <w:rStyle w:val="FootnoteReference"/>
        </w:rPr>
        <w:footnoteRef/>
      </w:r>
      <w:r>
        <w:t xml:space="preserve"> </w:t>
      </w:r>
      <w:proofErr w:type="gramStart"/>
      <w:r w:rsidRPr="00C003A5">
        <w:t>5 C.F.R. § 2635.204(</w:t>
      </w:r>
      <w:r>
        <w:t>h</w:t>
      </w:r>
      <w:r w:rsidRPr="00C003A5">
        <w:t>).</w:t>
      </w:r>
      <w:proofErr w:type="gramEnd"/>
    </w:p>
  </w:footnote>
  <w:footnote w:id="34">
    <w:p w:rsidR="0016706E" w:rsidRDefault="0016706E">
      <w:pPr>
        <w:pStyle w:val="FootnoteText"/>
      </w:pPr>
      <w:r>
        <w:rPr>
          <w:rStyle w:val="FootnoteReference"/>
        </w:rPr>
        <w:footnoteRef/>
      </w:r>
      <w:r>
        <w:t xml:space="preserve"> </w:t>
      </w:r>
      <w:proofErr w:type="gramStart"/>
      <w:r w:rsidRPr="00F75ABD">
        <w:t>5 C.F.R. § 2635.20</w:t>
      </w:r>
      <w:r>
        <w:t>2(c)</w:t>
      </w:r>
      <w:r w:rsidRPr="00F75ABD">
        <w:t>.</w:t>
      </w:r>
      <w:proofErr w:type="gramEnd"/>
    </w:p>
  </w:footnote>
  <w:footnote w:id="35">
    <w:p w:rsidR="00CA65F0" w:rsidRDefault="00CA65F0">
      <w:pPr>
        <w:pStyle w:val="FootnoteText"/>
      </w:pPr>
      <w:r>
        <w:rPr>
          <w:rStyle w:val="FootnoteReference"/>
        </w:rPr>
        <w:footnoteRef/>
      </w:r>
      <w:r>
        <w:t xml:space="preserve"> </w:t>
      </w:r>
      <w:proofErr w:type="gramStart"/>
      <w:r w:rsidRPr="00F75ABD">
        <w:t>5 C.F.R. § 2635.20</w:t>
      </w:r>
      <w:r>
        <w:t>5</w:t>
      </w:r>
      <w:r w:rsidRPr="00F75ABD">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4E" w:rsidRDefault="003F7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6E" w:rsidRDefault="0016706E" w:rsidP="00036592">
    <w:pPr>
      <w:pStyle w:val="Header"/>
    </w:pPr>
    <w:r>
      <w:t xml:space="preserve">National Rural Electric Cooperative Association </w:t>
    </w:r>
  </w:p>
  <w:p w:rsidR="0016706E" w:rsidRDefault="00D62753" w:rsidP="00036592">
    <w:pPr>
      <w:pStyle w:val="Header"/>
    </w:pPr>
    <w:r>
      <w:t>January 12</w:t>
    </w:r>
    <w:r w:rsidR="0016706E">
      <w:t>, 2016</w:t>
    </w:r>
  </w:p>
  <w:p w:rsidR="0016706E" w:rsidRDefault="0016706E" w:rsidP="00036592">
    <w:pPr>
      <w:pStyle w:val="Header"/>
    </w:pPr>
    <w:r>
      <w:t xml:space="preserve">Page </w:t>
    </w:r>
    <w:r>
      <w:fldChar w:fldCharType="begin"/>
    </w:r>
    <w:r>
      <w:instrText xml:space="preserve"> PAGE   \* MERGEFORMAT </w:instrText>
    </w:r>
    <w:r>
      <w:fldChar w:fldCharType="separate"/>
    </w:r>
    <w:r w:rsidR="00A01443">
      <w:rPr>
        <w:noProof/>
      </w:rPr>
      <w:t>11</w:t>
    </w:r>
    <w:r>
      <w:rPr>
        <w:noProof/>
      </w:rPr>
      <w:fldChar w:fldCharType="end"/>
    </w:r>
  </w:p>
  <w:p w:rsidR="0016706E" w:rsidRDefault="0016706E" w:rsidP="00036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78" w:type="pct"/>
      <w:tblInd w:w="-453" w:type="dxa"/>
      <w:tblLook w:val="0000" w:firstRow="0" w:lastRow="0" w:firstColumn="0" w:lastColumn="0" w:noHBand="0" w:noVBand="0"/>
    </w:tblPr>
    <w:tblGrid>
      <w:gridCol w:w="5898"/>
      <w:gridCol w:w="2553"/>
      <w:gridCol w:w="2476"/>
    </w:tblGrid>
    <w:tr w:rsidR="0016706E" w:rsidRPr="00880EC6" w:rsidTr="00C654CC">
      <w:trPr>
        <w:cantSplit/>
        <w:trHeight w:val="890"/>
      </w:trPr>
      <w:tc>
        <w:tcPr>
          <w:tcW w:w="2699" w:type="pct"/>
          <w:vMerge w:val="restart"/>
        </w:tcPr>
        <w:p w:rsidR="0016706E" w:rsidRPr="00880EC6" w:rsidRDefault="0016706E" w:rsidP="00C654CC">
          <w:pPr>
            <w:ind w:left="453"/>
            <w:rPr>
              <w:rFonts w:ascii="Arial" w:eastAsia="SimSun" w:hAnsi="Arial"/>
              <w:caps/>
              <w:sz w:val="14"/>
              <w:szCs w:val="20"/>
            </w:rPr>
          </w:pPr>
          <w:r w:rsidRPr="00880EC6">
            <w:rPr>
              <w:rFonts w:ascii="Arial" w:eastAsia="SimSun" w:hAnsi="Arial"/>
              <w:caps/>
              <w:noProof/>
              <w:sz w:val="14"/>
              <w:szCs w:val="20"/>
            </w:rPr>
            <w:drawing>
              <wp:anchor distT="0" distB="0" distL="114300" distR="114300" simplePos="0" relativeHeight="251657216" behindDoc="0" locked="0" layoutInCell="1" allowOverlap="1" wp14:anchorId="3EE23C14" wp14:editId="0827AAF4">
                <wp:simplePos x="0" y="0"/>
                <wp:positionH relativeFrom="column">
                  <wp:posOffset>292100</wp:posOffset>
                </wp:positionH>
                <wp:positionV relativeFrom="page">
                  <wp:posOffset>0</wp:posOffset>
                </wp:positionV>
                <wp:extent cx="2971800" cy="382270"/>
                <wp:effectExtent l="0" t="0" r="0" b="0"/>
                <wp:wrapSquare wrapText="bothSides"/>
                <wp:docPr id="1" name="Picture 100" descr="Description: bdbc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scription: bdbc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82270"/>
                        </a:xfrm>
                        <a:prstGeom prst="rect">
                          <a:avLst/>
                        </a:prstGeom>
                        <a:noFill/>
                      </pic:spPr>
                    </pic:pic>
                  </a:graphicData>
                </a:graphic>
                <wp14:sizeRelH relativeFrom="page">
                  <wp14:pctWidth>0</wp14:pctWidth>
                </wp14:sizeRelH>
                <wp14:sizeRelV relativeFrom="page">
                  <wp14:pctHeight>0</wp14:pctHeight>
                </wp14:sizeRelV>
              </wp:anchor>
            </w:drawing>
          </w:r>
        </w:p>
      </w:tc>
      <w:tc>
        <w:tcPr>
          <w:tcW w:w="1168" w:type="pct"/>
          <w:vMerge w:val="restart"/>
          <w:tcBorders>
            <w:right w:val="dotted" w:sz="4" w:space="0" w:color="auto"/>
          </w:tcBorders>
        </w:tcPr>
        <w:p w:rsidR="0016706E" w:rsidRPr="00880EC6" w:rsidRDefault="0016706E" w:rsidP="00C654CC">
          <w:pPr>
            <w:spacing w:after="240"/>
            <w:jc w:val="both"/>
            <w:rPr>
              <w:rFonts w:ascii="Futura-Book" w:eastAsia="SimSun" w:hAnsi="Futura-Book"/>
              <w:sz w:val="13"/>
              <w:szCs w:val="13"/>
            </w:rPr>
          </w:pPr>
        </w:p>
      </w:tc>
      <w:tc>
        <w:tcPr>
          <w:tcW w:w="1133" w:type="pct"/>
          <w:tcBorders>
            <w:left w:val="dotted" w:sz="4" w:space="0" w:color="auto"/>
          </w:tcBorders>
          <w:shd w:val="clear" w:color="auto" w:fill="auto"/>
          <w:tcMar>
            <w:top w:w="43" w:type="dxa"/>
            <w:left w:w="115" w:type="dxa"/>
            <w:right w:w="115" w:type="dxa"/>
          </w:tcMar>
        </w:tcPr>
        <w:p w:rsidR="0016706E" w:rsidRPr="00880EC6" w:rsidRDefault="0016706E" w:rsidP="005E76D7">
          <w:pPr>
            <w:jc w:val="both"/>
            <w:rPr>
              <w:rFonts w:ascii="Futura-Book" w:eastAsia="SimSun" w:hAnsi="Futura-Book"/>
              <w:caps/>
              <w:sz w:val="13"/>
              <w:szCs w:val="20"/>
            </w:rPr>
          </w:pPr>
          <w:r w:rsidRPr="00880EC6">
            <w:rPr>
              <w:rFonts w:ascii="Futura-Book" w:eastAsia="SimSun" w:hAnsi="Futura-Book"/>
              <w:caps/>
              <w:sz w:val="13"/>
              <w:szCs w:val="20"/>
            </w:rPr>
            <w:t>901 K street, northwest</w:t>
          </w:r>
        </w:p>
        <w:p w:rsidR="0016706E" w:rsidRPr="00880EC6" w:rsidRDefault="0016706E" w:rsidP="005E76D7">
          <w:pPr>
            <w:jc w:val="both"/>
            <w:rPr>
              <w:rFonts w:ascii="Futura-Book" w:eastAsia="SimSun" w:hAnsi="Futura-Book"/>
              <w:caps/>
              <w:sz w:val="13"/>
              <w:szCs w:val="20"/>
            </w:rPr>
          </w:pPr>
          <w:r w:rsidRPr="00880EC6">
            <w:rPr>
              <w:rFonts w:ascii="Futura-Book" w:eastAsia="SimSun" w:hAnsi="Futura-Book"/>
              <w:caps/>
              <w:sz w:val="13"/>
              <w:szCs w:val="20"/>
            </w:rPr>
            <w:t>suite 900</w:t>
          </w:r>
        </w:p>
        <w:p w:rsidR="0016706E" w:rsidRPr="00880EC6" w:rsidRDefault="0016706E" w:rsidP="005E76D7">
          <w:pPr>
            <w:jc w:val="both"/>
            <w:rPr>
              <w:rFonts w:ascii="Futura-Book" w:eastAsia="SimSun" w:hAnsi="Futura-Book"/>
              <w:caps/>
              <w:sz w:val="13"/>
              <w:szCs w:val="20"/>
            </w:rPr>
          </w:pPr>
          <w:r w:rsidRPr="00880EC6">
            <w:rPr>
              <w:rFonts w:ascii="Futura-Book" w:eastAsia="SimSun" w:hAnsi="Futura-Book"/>
              <w:caps/>
              <w:sz w:val="13"/>
              <w:szCs w:val="20"/>
            </w:rPr>
            <w:t>washington, dc  20001</w:t>
          </w:r>
        </w:p>
        <w:p w:rsidR="0016706E" w:rsidRPr="00880EC6" w:rsidRDefault="0016706E" w:rsidP="005E76D7">
          <w:pPr>
            <w:jc w:val="both"/>
            <w:rPr>
              <w:rFonts w:ascii="Futura-Book" w:eastAsia="SimSun" w:hAnsi="Futura-Book"/>
              <w:caps/>
              <w:sz w:val="13"/>
              <w:szCs w:val="20"/>
            </w:rPr>
          </w:pPr>
        </w:p>
        <w:p w:rsidR="0016706E" w:rsidRPr="00880EC6" w:rsidRDefault="0016706E" w:rsidP="005E76D7">
          <w:pPr>
            <w:tabs>
              <w:tab w:val="left" w:pos="648"/>
            </w:tabs>
            <w:jc w:val="both"/>
            <w:rPr>
              <w:rFonts w:ascii="Futura-Book" w:eastAsia="SimSun" w:hAnsi="Futura-Book"/>
              <w:caps/>
              <w:sz w:val="13"/>
              <w:szCs w:val="20"/>
            </w:rPr>
          </w:pPr>
          <w:r w:rsidRPr="00880EC6">
            <w:rPr>
              <w:rFonts w:ascii="Futura-Book" w:eastAsia="SimSun" w:hAnsi="Futura-Book"/>
              <w:caps/>
              <w:sz w:val="13"/>
              <w:szCs w:val="20"/>
            </w:rPr>
            <w:t>phone:</w:t>
          </w:r>
          <w:r w:rsidRPr="00880EC6">
            <w:rPr>
              <w:rFonts w:ascii="Futura-Book" w:eastAsia="SimSun" w:hAnsi="Futura-Book"/>
              <w:caps/>
              <w:sz w:val="13"/>
              <w:szCs w:val="20"/>
            </w:rPr>
            <w:tab/>
            <w:t>202.508.3400</w:t>
          </w:r>
        </w:p>
        <w:p w:rsidR="0016706E" w:rsidRPr="00880EC6" w:rsidRDefault="0016706E" w:rsidP="005E76D7">
          <w:pPr>
            <w:tabs>
              <w:tab w:val="left" w:pos="648"/>
            </w:tabs>
            <w:jc w:val="both"/>
            <w:rPr>
              <w:rFonts w:ascii="Futura-Book" w:eastAsia="SimSun" w:hAnsi="Futura-Book"/>
              <w:caps/>
              <w:sz w:val="13"/>
              <w:szCs w:val="20"/>
            </w:rPr>
          </w:pPr>
          <w:r w:rsidRPr="00880EC6">
            <w:rPr>
              <w:rFonts w:ascii="Futura-Book" w:eastAsia="SimSun" w:hAnsi="Futura-Book"/>
              <w:caps/>
              <w:sz w:val="13"/>
              <w:szCs w:val="20"/>
            </w:rPr>
            <w:t>fax:</w:t>
          </w:r>
          <w:r w:rsidRPr="00880EC6">
            <w:rPr>
              <w:rFonts w:ascii="Futura-Book" w:eastAsia="SimSun" w:hAnsi="Futura-Book"/>
              <w:caps/>
              <w:sz w:val="13"/>
              <w:szCs w:val="20"/>
            </w:rPr>
            <w:tab/>
            <w:t>202.508.3402</w:t>
          </w:r>
        </w:p>
      </w:tc>
    </w:tr>
    <w:tr w:rsidR="0016706E" w:rsidRPr="00880EC6" w:rsidTr="00C654CC">
      <w:trPr>
        <w:cantSplit/>
        <w:trHeight w:val="432"/>
      </w:trPr>
      <w:tc>
        <w:tcPr>
          <w:tcW w:w="2699" w:type="pct"/>
          <w:vMerge/>
        </w:tcPr>
        <w:p w:rsidR="0016706E" w:rsidRPr="00880EC6" w:rsidRDefault="0016706E" w:rsidP="00C654CC">
          <w:pPr>
            <w:rPr>
              <w:rFonts w:ascii="Arial" w:eastAsia="SimSun" w:hAnsi="Arial"/>
              <w:caps/>
              <w:noProof/>
              <w:sz w:val="14"/>
              <w:szCs w:val="20"/>
            </w:rPr>
          </w:pPr>
        </w:p>
      </w:tc>
      <w:tc>
        <w:tcPr>
          <w:tcW w:w="1168" w:type="pct"/>
          <w:vMerge/>
        </w:tcPr>
        <w:p w:rsidR="0016706E" w:rsidRPr="00880EC6" w:rsidRDefault="0016706E" w:rsidP="00C654CC">
          <w:pPr>
            <w:spacing w:after="240"/>
            <w:jc w:val="both"/>
            <w:rPr>
              <w:rFonts w:ascii="Futura-Book" w:eastAsia="SimSun" w:hAnsi="Futura-Book"/>
              <w:szCs w:val="20"/>
            </w:rPr>
          </w:pPr>
        </w:p>
      </w:tc>
      <w:tc>
        <w:tcPr>
          <w:tcW w:w="1133" w:type="pct"/>
          <w:shd w:val="clear" w:color="auto" w:fill="auto"/>
        </w:tcPr>
        <w:p w:rsidR="0016706E" w:rsidRPr="00880EC6" w:rsidRDefault="0016706E" w:rsidP="005E76D7">
          <w:pPr>
            <w:jc w:val="both"/>
            <w:rPr>
              <w:rFonts w:ascii="Futura-Book" w:eastAsia="SimSun" w:hAnsi="Futura-Book"/>
              <w:sz w:val="14"/>
              <w:szCs w:val="20"/>
            </w:rPr>
          </w:pPr>
        </w:p>
        <w:p w:rsidR="0016706E" w:rsidRPr="00880EC6" w:rsidRDefault="0016706E" w:rsidP="005E76D7">
          <w:pPr>
            <w:jc w:val="both"/>
            <w:rPr>
              <w:rFonts w:ascii="Futura-Book" w:eastAsia="SimSun" w:hAnsi="Futura-Book"/>
              <w:sz w:val="14"/>
              <w:szCs w:val="20"/>
            </w:rPr>
          </w:pPr>
          <w:r w:rsidRPr="00880EC6">
            <w:rPr>
              <w:rFonts w:ascii="Futura-Book" w:eastAsia="SimSun" w:hAnsi="Futura-Book"/>
              <w:color w:val="0000FF" w:themeColor="hyperlink"/>
              <w:sz w:val="14"/>
              <w:szCs w:val="20"/>
              <w:u w:val="single"/>
            </w:rPr>
            <w:t>www.bakerdonelson.com</w:t>
          </w:r>
        </w:p>
        <w:p w:rsidR="0016706E" w:rsidRPr="00880EC6" w:rsidRDefault="0016706E" w:rsidP="005E76D7">
          <w:pPr>
            <w:jc w:val="both"/>
            <w:rPr>
              <w:rFonts w:ascii="Futura-Book" w:eastAsia="SimSun" w:hAnsi="Futura-Book"/>
              <w:sz w:val="14"/>
              <w:szCs w:val="20"/>
            </w:rPr>
          </w:pPr>
        </w:p>
      </w:tc>
    </w:tr>
  </w:tbl>
  <w:p w:rsidR="0016706E" w:rsidRPr="00880EC6" w:rsidRDefault="0016706E" w:rsidP="002F251E">
    <w:pPr>
      <w:jc w:val="both"/>
      <w:rPr>
        <w:rFonts w:ascii="Arial" w:hAnsi="Arial" w:cs="Arial"/>
        <w:b/>
        <w:smallCaps/>
        <w:sz w:val="16"/>
        <w:szCs w:val="14"/>
      </w:rPr>
    </w:pPr>
    <w:r w:rsidRPr="00880EC6">
      <w:rPr>
        <w:rFonts w:ascii="Arial" w:hAnsi="Arial" w:cs="Arial"/>
        <w:b/>
        <w:smallCaps/>
        <w:sz w:val="16"/>
        <w:szCs w:val="14"/>
      </w:rPr>
      <w:t>Ernest B. Abbott</w:t>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t xml:space="preserve">Wendy Huff </w:t>
    </w:r>
    <w:proofErr w:type="spellStart"/>
    <w:r>
      <w:rPr>
        <w:rFonts w:ascii="Arial" w:hAnsi="Arial" w:cs="Arial"/>
        <w:b/>
        <w:smallCaps/>
        <w:sz w:val="16"/>
        <w:szCs w:val="14"/>
      </w:rPr>
      <w:t>Ellard</w:t>
    </w:r>
    <w:proofErr w:type="spellEnd"/>
  </w:p>
  <w:p w:rsidR="0016706E" w:rsidRPr="00880EC6" w:rsidRDefault="0016706E" w:rsidP="002F251E">
    <w:pPr>
      <w:jc w:val="both"/>
      <w:rPr>
        <w:rFonts w:ascii="Arial" w:hAnsi="Arial" w:cs="Arial"/>
        <w:b/>
        <w:smallCaps/>
        <w:sz w:val="16"/>
        <w:szCs w:val="14"/>
      </w:rPr>
    </w:pPr>
    <w:r w:rsidRPr="00880EC6">
      <w:rPr>
        <w:rFonts w:ascii="Arial" w:hAnsi="Arial" w:cs="Arial"/>
        <w:b/>
        <w:smallCaps/>
        <w:sz w:val="16"/>
        <w:szCs w:val="14"/>
      </w:rPr>
      <w:t>Of Counsel</w:t>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r>
    <w:r>
      <w:rPr>
        <w:rFonts w:ascii="Arial" w:hAnsi="Arial" w:cs="Arial"/>
        <w:b/>
        <w:smallCaps/>
        <w:sz w:val="16"/>
        <w:szCs w:val="14"/>
      </w:rPr>
      <w:tab/>
      <w:t>Associate</w:t>
    </w:r>
  </w:p>
  <w:p w:rsidR="0016706E" w:rsidRPr="00880EC6" w:rsidRDefault="0016706E" w:rsidP="002F251E">
    <w:pPr>
      <w:jc w:val="both"/>
      <w:rPr>
        <w:rFonts w:ascii="Arial" w:hAnsi="Arial" w:cs="Arial"/>
        <w:smallCaps/>
        <w:sz w:val="16"/>
        <w:szCs w:val="14"/>
      </w:rPr>
    </w:pPr>
    <w:r w:rsidRPr="00880EC6">
      <w:rPr>
        <w:rFonts w:ascii="Arial" w:hAnsi="Arial" w:cs="Arial"/>
        <w:smallCaps/>
        <w:sz w:val="16"/>
        <w:szCs w:val="14"/>
      </w:rPr>
      <w:t>Direct: 202.508.3425</w:t>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t>Direct: 601.969.4681</w:t>
    </w:r>
  </w:p>
  <w:p w:rsidR="0016706E" w:rsidRPr="00880EC6" w:rsidRDefault="0016706E" w:rsidP="002F251E">
    <w:pPr>
      <w:jc w:val="both"/>
      <w:rPr>
        <w:rFonts w:ascii="Arial" w:hAnsi="Arial" w:cs="Arial"/>
        <w:smallCaps/>
        <w:sz w:val="16"/>
        <w:szCs w:val="14"/>
      </w:rPr>
    </w:pPr>
    <w:r w:rsidRPr="00880EC6">
      <w:rPr>
        <w:rFonts w:ascii="Arial" w:hAnsi="Arial" w:cs="Arial"/>
        <w:smallCaps/>
        <w:sz w:val="16"/>
        <w:szCs w:val="14"/>
      </w:rPr>
      <w:t>Fax: 202.220.2225</w:t>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t>Fax: 601.592.2405</w:t>
    </w:r>
  </w:p>
  <w:p w:rsidR="0016706E" w:rsidRDefault="0016706E" w:rsidP="002F251E">
    <w:pPr>
      <w:spacing w:after="240"/>
      <w:jc w:val="both"/>
      <w:rPr>
        <w:rFonts w:ascii="Arial" w:hAnsi="Arial" w:cs="Arial"/>
        <w:smallCaps/>
        <w:sz w:val="16"/>
        <w:szCs w:val="14"/>
      </w:rPr>
    </w:pPr>
    <w:r w:rsidRPr="00880EC6">
      <w:rPr>
        <w:rFonts w:ascii="Arial" w:hAnsi="Arial" w:cs="Arial"/>
        <w:smallCaps/>
        <w:color w:val="0000FF"/>
        <w:sz w:val="16"/>
        <w:szCs w:val="14"/>
        <w:u w:val="single"/>
      </w:rPr>
      <w:t>eabbott@bakerdonelson.com</w:t>
    </w:r>
    <w:r w:rsidRPr="00880EC6">
      <w:rPr>
        <w:rFonts w:ascii="Arial" w:hAnsi="Arial" w:cs="Arial"/>
        <w:smallCaps/>
        <w:sz w:val="16"/>
        <w:szCs w:val="14"/>
      </w:rPr>
      <w:t xml:space="preserve"> </w:t>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Pr>
        <w:rFonts w:ascii="Arial" w:hAnsi="Arial" w:cs="Arial"/>
        <w:smallCaps/>
        <w:sz w:val="16"/>
        <w:szCs w:val="14"/>
      </w:rPr>
      <w:tab/>
    </w:r>
    <w:r w:rsidRPr="007716B8">
      <w:rPr>
        <w:rFonts w:ascii="Arial" w:hAnsi="Arial" w:cs="Arial"/>
        <w:smallCaps/>
        <w:sz w:val="16"/>
        <w:szCs w:val="14"/>
      </w:rPr>
      <w:t>wellard@bakerdonelson.com</w:t>
    </w:r>
    <w:r>
      <w:rPr>
        <w:rFonts w:ascii="Arial" w:hAnsi="Arial" w:cs="Arial"/>
        <w:smallCaps/>
        <w:sz w:val="16"/>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3C8BBE"/>
    <w:lvl w:ilvl="0">
      <w:start w:val="1"/>
      <w:numFmt w:val="decimal"/>
      <w:lvlText w:val="%1."/>
      <w:lvlJc w:val="left"/>
      <w:pPr>
        <w:tabs>
          <w:tab w:val="num" w:pos="1800"/>
        </w:tabs>
        <w:ind w:left="1800" w:hanging="360"/>
      </w:pPr>
    </w:lvl>
  </w:abstractNum>
  <w:abstractNum w:abstractNumId="1">
    <w:nsid w:val="FFFFFF7D"/>
    <w:multiLevelType w:val="singleLevel"/>
    <w:tmpl w:val="77243C8C"/>
    <w:lvl w:ilvl="0">
      <w:start w:val="1"/>
      <w:numFmt w:val="decimal"/>
      <w:lvlText w:val="%1."/>
      <w:lvlJc w:val="left"/>
      <w:pPr>
        <w:tabs>
          <w:tab w:val="num" w:pos="1440"/>
        </w:tabs>
        <w:ind w:left="1440" w:hanging="360"/>
      </w:pPr>
    </w:lvl>
  </w:abstractNum>
  <w:abstractNum w:abstractNumId="2">
    <w:nsid w:val="FFFFFF7E"/>
    <w:multiLevelType w:val="singleLevel"/>
    <w:tmpl w:val="19A2A034"/>
    <w:lvl w:ilvl="0">
      <w:start w:val="1"/>
      <w:numFmt w:val="decimal"/>
      <w:lvlText w:val="%1."/>
      <w:lvlJc w:val="left"/>
      <w:pPr>
        <w:tabs>
          <w:tab w:val="num" w:pos="1080"/>
        </w:tabs>
        <w:ind w:left="1080" w:hanging="360"/>
      </w:pPr>
    </w:lvl>
  </w:abstractNum>
  <w:abstractNum w:abstractNumId="3">
    <w:nsid w:val="FFFFFF7F"/>
    <w:multiLevelType w:val="singleLevel"/>
    <w:tmpl w:val="9676CF10"/>
    <w:lvl w:ilvl="0">
      <w:start w:val="1"/>
      <w:numFmt w:val="decimal"/>
      <w:lvlText w:val="%1."/>
      <w:lvlJc w:val="left"/>
      <w:pPr>
        <w:tabs>
          <w:tab w:val="num" w:pos="720"/>
        </w:tabs>
        <w:ind w:left="720" w:hanging="360"/>
      </w:pPr>
    </w:lvl>
  </w:abstractNum>
  <w:abstractNum w:abstractNumId="4">
    <w:nsid w:val="FFFFFF80"/>
    <w:multiLevelType w:val="singleLevel"/>
    <w:tmpl w:val="A760BA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6231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FED5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625D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05E0DCC"/>
    <w:lvl w:ilvl="0">
      <w:start w:val="1"/>
      <w:numFmt w:val="decimal"/>
      <w:lvlText w:val="%1."/>
      <w:lvlJc w:val="left"/>
      <w:pPr>
        <w:tabs>
          <w:tab w:val="num" w:pos="360"/>
        </w:tabs>
        <w:ind w:left="360" w:hanging="360"/>
      </w:pPr>
    </w:lvl>
  </w:abstractNum>
  <w:abstractNum w:abstractNumId="9">
    <w:nsid w:val="FFFFFF89"/>
    <w:multiLevelType w:val="singleLevel"/>
    <w:tmpl w:val="D06C7F66"/>
    <w:lvl w:ilvl="0">
      <w:start w:val="1"/>
      <w:numFmt w:val="bullet"/>
      <w:lvlText w:val=""/>
      <w:lvlJc w:val="left"/>
      <w:pPr>
        <w:tabs>
          <w:tab w:val="num" w:pos="360"/>
        </w:tabs>
        <w:ind w:left="360" w:hanging="360"/>
      </w:pPr>
      <w:rPr>
        <w:rFonts w:ascii="Symbol" w:hAnsi="Symbol" w:hint="default"/>
      </w:rPr>
    </w:lvl>
  </w:abstractNum>
  <w:abstractNum w:abstractNumId="10">
    <w:nsid w:val="05124552"/>
    <w:multiLevelType w:val="hybridMultilevel"/>
    <w:tmpl w:val="3B942518"/>
    <w:lvl w:ilvl="0" w:tplc="4DCCF3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101E42"/>
    <w:multiLevelType w:val="hybridMultilevel"/>
    <w:tmpl w:val="D8E8F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D62105"/>
    <w:multiLevelType w:val="hybridMultilevel"/>
    <w:tmpl w:val="4D949468"/>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11757B79"/>
    <w:multiLevelType w:val="hybridMultilevel"/>
    <w:tmpl w:val="22961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9730DB8"/>
    <w:multiLevelType w:val="hybridMultilevel"/>
    <w:tmpl w:val="996EAE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45D4DA4"/>
    <w:multiLevelType w:val="hybridMultilevel"/>
    <w:tmpl w:val="CA64D616"/>
    <w:lvl w:ilvl="0" w:tplc="C42AF8A6">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0117D"/>
    <w:multiLevelType w:val="hybridMultilevel"/>
    <w:tmpl w:val="4E3E1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5D75443"/>
    <w:multiLevelType w:val="hybridMultilevel"/>
    <w:tmpl w:val="39DE58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2BA920A5"/>
    <w:multiLevelType w:val="hybridMultilevel"/>
    <w:tmpl w:val="4184CB22"/>
    <w:lvl w:ilvl="0" w:tplc="30B850D0">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CC79B7"/>
    <w:multiLevelType w:val="hybridMultilevel"/>
    <w:tmpl w:val="53AE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97A35"/>
    <w:multiLevelType w:val="hybridMultilevel"/>
    <w:tmpl w:val="A9D4BA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54C5A"/>
    <w:multiLevelType w:val="hybridMultilevel"/>
    <w:tmpl w:val="B534F9E6"/>
    <w:lvl w:ilvl="0" w:tplc="4DCCF3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AB337AE"/>
    <w:multiLevelType w:val="hybridMultilevel"/>
    <w:tmpl w:val="7F2A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420A88"/>
    <w:multiLevelType w:val="hybridMultilevel"/>
    <w:tmpl w:val="16202786"/>
    <w:lvl w:ilvl="0" w:tplc="633A3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AE2D2A"/>
    <w:multiLevelType w:val="hybridMultilevel"/>
    <w:tmpl w:val="9FCE5146"/>
    <w:lvl w:ilvl="0" w:tplc="4DCCF3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F619C9"/>
    <w:multiLevelType w:val="hybridMultilevel"/>
    <w:tmpl w:val="D4A8DD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CD3E66"/>
    <w:multiLevelType w:val="hybridMultilevel"/>
    <w:tmpl w:val="0D609B3E"/>
    <w:lvl w:ilvl="0" w:tplc="4DCCF326">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53611"/>
    <w:multiLevelType w:val="hybridMultilevel"/>
    <w:tmpl w:val="1E4A5DA8"/>
    <w:lvl w:ilvl="0" w:tplc="04090015">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4B35A6"/>
    <w:multiLevelType w:val="hybridMultilevel"/>
    <w:tmpl w:val="2B0CCBB6"/>
    <w:lvl w:ilvl="0" w:tplc="E5BC02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A7C39"/>
    <w:multiLevelType w:val="hybridMultilevel"/>
    <w:tmpl w:val="C8282A22"/>
    <w:lvl w:ilvl="0" w:tplc="30B850D0">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8A252A"/>
    <w:multiLevelType w:val="hybridMultilevel"/>
    <w:tmpl w:val="1AFA6AC2"/>
    <w:lvl w:ilvl="0" w:tplc="4DCCF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9430D9"/>
    <w:multiLevelType w:val="hybridMultilevel"/>
    <w:tmpl w:val="7D00F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755158"/>
    <w:multiLevelType w:val="hybridMultilevel"/>
    <w:tmpl w:val="A3242102"/>
    <w:lvl w:ilvl="0" w:tplc="4DCCF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F4F1A14"/>
    <w:multiLevelType w:val="hybridMultilevel"/>
    <w:tmpl w:val="5A6A0A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4E2534"/>
    <w:multiLevelType w:val="hybridMultilevel"/>
    <w:tmpl w:val="D7EE6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FB41ADC"/>
    <w:multiLevelType w:val="hybridMultilevel"/>
    <w:tmpl w:val="45DC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F00BB8"/>
    <w:multiLevelType w:val="hybridMultilevel"/>
    <w:tmpl w:val="A8F69228"/>
    <w:lvl w:ilvl="0" w:tplc="85E65AC2">
      <w:start w:val="1"/>
      <w:numFmt w:val="upperLetter"/>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9"/>
  </w:num>
  <w:num w:numId="3">
    <w:abstractNumId w:val="20"/>
  </w:num>
  <w:num w:numId="4">
    <w:abstractNumId w:val="11"/>
  </w:num>
  <w:num w:numId="5">
    <w:abstractNumId w:val="18"/>
  </w:num>
  <w:num w:numId="6">
    <w:abstractNumId w:val="27"/>
  </w:num>
  <w:num w:numId="7">
    <w:abstractNumId w:val="26"/>
  </w:num>
  <w:num w:numId="8">
    <w:abstractNumId w:val="21"/>
  </w:num>
  <w:num w:numId="9">
    <w:abstractNumId w:val="23"/>
  </w:num>
  <w:num w:numId="10">
    <w:abstractNumId w:val="10"/>
  </w:num>
  <w:num w:numId="11">
    <w:abstractNumId w:val="24"/>
  </w:num>
  <w:num w:numId="12">
    <w:abstractNumId w:val="32"/>
  </w:num>
  <w:num w:numId="13">
    <w:abstractNumId w:val="22"/>
  </w:num>
  <w:num w:numId="14">
    <w:abstractNumId w:val="36"/>
  </w:num>
  <w:num w:numId="15">
    <w:abstractNumId w:val="31"/>
  </w:num>
  <w:num w:numId="16">
    <w:abstractNumId w:val="25"/>
  </w:num>
  <w:num w:numId="17">
    <w:abstractNumId w:val="35"/>
  </w:num>
  <w:num w:numId="18">
    <w:abstractNumId w:val="12"/>
  </w:num>
  <w:num w:numId="19">
    <w:abstractNumId w:val="3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5"/>
  </w:num>
  <w:num w:numId="32">
    <w:abstractNumId w:val="28"/>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0"/>
  </w:num>
  <w:num w:numId="36">
    <w:abstractNumId w:val="15"/>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4F"/>
    <w:rsid w:val="00001F20"/>
    <w:rsid w:val="000022B5"/>
    <w:rsid w:val="00004DC3"/>
    <w:rsid w:val="00005508"/>
    <w:rsid w:val="000064CD"/>
    <w:rsid w:val="00006718"/>
    <w:rsid w:val="000079B0"/>
    <w:rsid w:val="00020D5E"/>
    <w:rsid w:val="00021BE3"/>
    <w:rsid w:val="0002648D"/>
    <w:rsid w:val="0003064A"/>
    <w:rsid w:val="00036160"/>
    <w:rsid w:val="00036592"/>
    <w:rsid w:val="00043AE0"/>
    <w:rsid w:val="00045A36"/>
    <w:rsid w:val="00046838"/>
    <w:rsid w:val="00046C49"/>
    <w:rsid w:val="00050575"/>
    <w:rsid w:val="0005202E"/>
    <w:rsid w:val="00061E13"/>
    <w:rsid w:val="0006592C"/>
    <w:rsid w:val="000667FE"/>
    <w:rsid w:val="00066C99"/>
    <w:rsid w:val="0007089B"/>
    <w:rsid w:val="00071A3D"/>
    <w:rsid w:val="00071E65"/>
    <w:rsid w:val="00074779"/>
    <w:rsid w:val="000837A1"/>
    <w:rsid w:val="00090FA2"/>
    <w:rsid w:val="0009395C"/>
    <w:rsid w:val="00096EF5"/>
    <w:rsid w:val="000A2323"/>
    <w:rsid w:val="000B60DF"/>
    <w:rsid w:val="000B634C"/>
    <w:rsid w:val="000C6E0A"/>
    <w:rsid w:val="000C7E48"/>
    <w:rsid w:val="000D080D"/>
    <w:rsid w:val="000D0877"/>
    <w:rsid w:val="000E50A5"/>
    <w:rsid w:val="000F5F75"/>
    <w:rsid w:val="000F7567"/>
    <w:rsid w:val="00104164"/>
    <w:rsid w:val="00114473"/>
    <w:rsid w:val="00114C1A"/>
    <w:rsid w:val="001170A3"/>
    <w:rsid w:val="00120348"/>
    <w:rsid w:val="00120AA8"/>
    <w:rsid w:val="00127AB3"/>
    <w:rsid w:val="00130E9E"/>
    <w:rsid w:val="00136A3B"/>
    <w:rsid w:val="00137535"/>
    <w:rsid w:val="00146D9B"/>
    <w:rsid w:val="0014740A"/>
    <w:rsid w:val="00147503"/>
    <w:rsid w:val="00150535"/>
    <w:rsid w:val="001524DB"/>
    <w:rsid w:val="00163152"/>
    <w:rsid w:val="001632A5"/>
    <w:rsid w:val="00165DCE"/>
    <w:rsid w:val="0016706E"/>
    <w:rsid w:val="00172976"/>
    <w:rsid w:val="00182B12"/>
    <w:rsid w:val="00183A40"/>
    <w:rsid w:val="001956B5"/>
    <w:rsid w:val="00197DA8"/>
    <w:rsid w:val="001A15EF"/>
    <w:rsid w:val="001A3C28"/>
    <w:rsid w:val="001B34E6"/>
    <w:rsid w:val="001C104A"/>
    <w:rsid w:val="001C4723"/>
    <w:rsid w:val="001C7EE1"/>
    <w:rsid w:val="001D0D27"/>
    <w:rsid w:val="001D4FB7"/>
    <w:rsid w:val="001E0B54"/>
    <w:rsid w:val="001E59B1"/>
    <w:rsid w:val="001E7AEF"/>
    <w:rsid w:val="001E7C0C"/>
    <w:rsid w:val="001F3235"/>
    <w:rsid w:val="00200664"/>
    <w:rsid w:val="00210B72"/>
    <w:rsid w:val="002139AE"/>
    <w:rsid w:val="002238FB"/>
    <w:rsid w:val="002262EF"/>
    <w:rsid w:val="002277E7"/>
    <w:rsid w:val="00232342"/>
    <w:rsid w:val="0023281F"/>
    <w:rsid w:val="0023631E"/>
    <w:rsid w:val="002446B1"/>
    <w:rsid w:val="002509DD"/>
    <w:rsid w:val="00270B43"/>
    <w:rsid w:val="00273CD0"/>
    <w:rsid w:val="002756FD"/>
    <w:rsid w:val="002771BA"/>
    <w:rsid w:val="00277C78"/>
    <w:rsid w:val="00280A41"/>
    <w:rsid w:val="00284499"/>
    <w:rsid w:val="002969D6"/>
    <w:rsid w:val="002A6245"/>
    <w:rsid w:val="002B003B"/>
    <w:rsid w:val="002B34D9"/>
    <w:rsid w:val="002B3D65"/>
    <w:rsid w:val="002B4F10"/>
    <w:rsid w:val="002C0F14"/>
    <w:rsid w:val="002C47C3"/>
    <w:rsid w:val="002D63F3"/>
    <w:rsid w:val="002E0818"/>
    <w:rsid w:val="002E1A7D"/>
    <w:rsid w:val="002E371A"/>
    <w:rsid w:val="002F07A6"/>
    <w:rsid w:val="002F251E"/>
    <w:rsid w:val="002F4A22"/>
    <w:rsid w:val="002F4C41"/>
    <w:rsid w:val="002F7253"/>
    <w:rsid w:val="003031D3"/>
    <w:rsid w:val="003078B0"/>
    <w:rsid w:val="00313EC1"/>
    <w:rsid w:val="0031463F"/>
    <w:rsid w:val="003203CD"/>
    <w:rsid w:val="0032049C"/>
    <w:rsid w:val="00324F13"/>
    <w:rsid w:val="00333598"/>
    <w:rsid w:val="003368E2"/>
    <w:rsid w:val="003401E2"/>
    <w:rsid w:val="003403B4"/>
    <w:rsid w:val="003405E1"/>
    <w:rsid w:val="003426C4"/>
    <w:rsid w:val="003430B6"/>
    <w:rsid w:val="00347084"/>
    <w:rsid w:val="00347FC3"/>
    <w:rsid w:val="00355B2E"/>
    <w:rsid w:val="00373BBC"/>
    <w:rsid w:val="00375B6A"/>
    <w:rsid w:val="003766D9"/>
    <w:rsid w:val="003773D4"/>
    <w:rsid w:val="00377EF4"/>
    <w:rsid w:val="00382BD3"/>
    <w:rsid w:val="0038307B"/>
    <w:rsid w:val="00394C90"/>
    <w:rsid w:val="00395036"/>
    <w:rsid w:val="003955FF"/>
    <w:rsid w:val="00397774"/>
    <w:rsid w:val="003A07BC"/>
    <w:rsid w:val="003B3334"/>
    <w:rsid w:val="003B33F5"/>
    <w:rsid w:val="003B4FC6"/>
    <w:rsid w:val="003B601E"/>
    <w:rsid w:val="003C3054"/>
    <w:rsid w:val="003C3569"/>
    <w:rsid w:val="003C7519"/>
    <w:rsid w:val="003D1793"/>
    <w:rsid w:val="003D50C5"/>
    <w:rsid w:val="003D58FA"/>
    <w:rsid w:val="003E359F"/>
    <w:rsid w:val="003E4702"/>
    <w:rsid w:val="003E6968"/>
    <w:rsid w:val="003F4BB2"/>
    <w:rsid w:val="003F5A4C"/>
    <w:rsid w:val="003F763B"/>
    <w:rsid w:val="003F7E4E"/>
    <w:rsid w:val="004053FE"/>
    <w:rsid w:val="00413C16"/>
    <w:rsid w:val="004152F7"/>
    <w:rsid w:val="0042718E"/>
    <w:rsid w:val="0042728B"/>
    <w:rsid w:val="00430FC5"/>
    <w:rsid w:val="004315D6"/>
    <w:rsid w:val="00432F05"/>
    <w:rsid w:val="00435957"/>
    <w:rsid w:val="00437864"/>
    <w:rsid w:val="00441606"/>
    <w:rsid w:val="00442057"/>
    <w:rsid w:val="00443D83"/>
    <w:rsid w:val="00445C96"/>
    <w:rsid w:val="00446586"/>
    <w:rsid w:val="00462D26"/>
    <w:rsid w:val="004647F5"/>
    <w:rsid w:val="00466DB2"/>
    <w:rsid w:val="00475E6E"/>
    <w:rsid w:val="004818F5"/>
    <w:rsid w:val="00482BA5"/>
    <w:rsid w:val="0048688C"/>
    <w:rsid w:val="00486973"/>
    <w:rsid w:val="004875E7"/>
    <w:rsid w:val="00490EB9"/>
    <w:rsid w:val="004940D7"/>
    <w:rsid w:val="00495618"/>
    <w:rsid w:val="004A0BEE"/>
    <w:rsid w:val="004A2E68"/>
    <w:rsid w:val="004A4645"/>
    <w:rsid w:val="004B04FA"/>
    <w:rsid w:val="004B0AFA"/>
    <w:rsid w:val="004B4C8F"/>
    <w:rsid w:val="004C1AFA"/>
    <w:rsid w:val="004C2AB1"/>
    <w:rsid w:val="004D1844"/>
    <w:rsid w:val="004D469F"/>
    <w:rsid w:val="004E269B"/>
    <w:rsid w:val="004E67A0"/>
    <w:rsid w:val="004F4DEF"/>
    <w:rsid w:val="00500E0F"/>
    <w:rsid w:val="00524261"/>
    <w:rsid w:val="0053259C"/>
    <w:rsid w:val="00533202"/>
    <w:rsid w:val="005413C0"/>
    <w:rsid w:val="00550DB1"/>
    <w:rsid w:val="00552D34"/>
    <w:rsid w:val="00555CAB"/>
    <w:rsid w:val="005645FD"/>
    <w:rsid w:val="00566177"/>
    <w:rsid w:val="00571098"/>
    <w:rsid w:val="005714E0"/>
    <w:rsid w:val="005752B7"/>
    <w:rsid w:val="005819BA"/>
    <w:rsid w:val="00586097"/>
    <w:rsid w:val="0059120B"/>
    <w:rsid w:val="005920E9"/>
    <w:rsid w:val="00592B6E"/>
    <w:rsid w:val="00593D83"/>
    <w:rsid w:val="005970BA"/>
    <w:rsid w:val="005974D0"/>
    <w:rsid w:val="005A1567"/>
    <w:rsid w:val="005B09FA"/>
    <w:rsid w:val="005B291E"/>
    <w:rsid w:val="005C24C5"/>
    <w:rsid w:val="005D0C0E"/>
    <w:rsid w:val="005D2C57"/>
    <w:rsid w:val="005D39C3"/>
    <w:rsid w:val="005D6EB7"/>
    <w:rsid w:val="005D7ED5"/>
    <w:rsid w:val="005E5180"/>
    <w:rsid w:val="005E7283"/>
    <w:rsid w:val="005E755B"/>
    <w:rsid w:val="005E76D7"/>
    <w:rsid w:val="005E7B00"/>
    <w:rsid w:val="005F0408"/>
    <w:rsid w:val="005F4290"/>
    <w:rsid w:val="005F786A"/>
    <w:rsid w:val="0060023B"/>
    <w:rsid w:val="0060225E"/>
    <w:rsid w:val="00602813"/>
    <w:rsid w:val="00603BB8"/>
    <w:rsid w:val="006107FD"/>
    <w:rsid w:val="00611FFC"/>
    <w:rsid w:val="00614EF2"/>
    <w:rsid w:val="00627156"/>
    <w:rsid w:val="006331DD"/>
    <w:rsid w:val="006421EE"/>
    <w:rsid w:val="00646A4A"/>
    <w:rsid w:val="00647CBD"/>
    <w:rsid w:val="00653AE5"/>
    <w:rsid w:val="00670BFC"/>
    <w:rsid w:val="006739E3"/>
    <w:rsid w:val="00693343"/>
    <w:rsid w:val="00694C9D"/>
    <w:rsid w:val="006A0F5E"/>
    <w:rsid w:val="006A53E9"/>
    <w:rsid w:val="006A5C97"/>
    <w:rsid w:val="006A6725"/>
    <w:rsid w:val="006C1D9D"/>
    <w:rsid w:val="006D2512"/>
    <w:rsid w:val="006D3A4A"/>
    <w:rsid w:val="006E087B"/>
    <w:rsid w:val="006E4D07"/>
    <w:rsid w:val="006E5A47"/>
    <w:rsid w:val="006E61E6"/>
    <w:rsid w:val="006E62DE"/>
    <w:rsid w:val="006F1073"/>
    <w:rsid w:val="006F38F2"/>
    <w:rsid w:val="00700683"/>
    <w:rsid w:val="00704429"/>
    <w:rsid w:val="00705BAD"/>
    <w:rsid w:val="00707616"/>
    <w:rsid w:val="0071092D"/>
    <w:rsid w:val="00716B0B"/>
    <w:rsid w:val="007205FA"/>
    <w:rsid w:val="007213A3"/>
    <w:rsid w:val="007342C7"/>
    <w:rsid w:val="0073468A"/>
    <w:rsid w:val="00735B0E"/>
    <w:rsid w:val="00756BAD"/>
    <w:rsid w:val="0076166A"/>
    <w:rsid w:val="00763EE9"/>
    <w:rsid w:val="007653FA"/>
    <w:rsid w:val="007675B7"/>
    <w:rsid w:val="007707DD"/>
    <w:rsid w:val="007716B8"/>
    <w:rsid w:val="0077590D"/>
    <w:rsid w:val="00776A69"/>
    <w:rsid w:val="00776C1A"/>
    <w:rsid w:val="00782D10"/>
    <w:rsid w:val="00783D13"/>
    <w:rsid w:val="007A02BE"/>
    <w:rsid w:val="007A7DF0"/>
    <w:rsid w:val="007B0A9C"/>
    <w:rsid w:val="007C18AF"/>
    <w:rsid w:val="007C1AB1"/>
    <w:rsid w:val="007C477D"/>
    <w:rsid w:val="007D046B"/>
    <w:rsid w:val="007D367E"/>
    <w:rsid w:val="007D63E5"/>
    <w:rsid w:val="007D6607"/>
    <w:rsid w:val="007E4808"/>
    <w:rsid w:val="007E5533"/>
    <w:rsid w:val="007E7C57"/>
    <w:rsid w:val="007F1C0D"/>
    <w:rsid w:val="00805A83"/>
    <w:rsid w:val="008076A5"/>
    <w:rsid w:val="008156E3"/>
    <w:rsid w:val="00822251"/>
    <w:rsid w:val="00840E5D"/>
    <w:rsid w:val="008444B0"/>
    <w:rsid w:val="00844F65"/>
    <w:rsid w:val="00853161"/>
    <w:rsid w:val="00860A26"/>
    <w:rsid w:val="008626C2"/>
    <w:rsid w:val="00863FC7"/>
    <w:rsid w:val="00865B4D"/>
    <w:rsid w:val="008677DB"/>
    <w:rsid w:val="008706C9"/>
    <w:rsid w:val="008773D1"/>
    <w:rsid w:val="00883BC0"/>
    <w:rsid w:val="00883CE6"/>
    <w:rsid w:val="00886DE2"/>
    <w:rsid w:val="0089528E"/>
    <w:rsid w:val="008A227B"/>
    <w:rsid w:val="008A6287"/>
    <w:rsid w:val="008B0C9F"/>
    <w:rsid w:val="008B465E"/>
    <w:rsid w:val="008B606C"/>
    <w:rsid w:val="008C6890"/>
    <w:rsid w:val="008D1659"/>
    <w:rsid w:val="008E1307"/>
    <w:rsid w:val="008E2180"/>
    <w:rsid w:val="008E63B2"/>
    <w:rsid w:val="008F2407"/>
    <w:rsid w:val="008F429B"/>
    <w:rsid w:val="008F6A3B"/>
    <w:rsid w:val="008F79ED"/>
    <w:rsid w:val="00900A1E"/>
    <w:rsid w:val="009028BF"/>
    <w:rsid w:val="00907961"/>
    <w:rsid w:val="009128E3"/>
    <w:rsid w:val="00925770"/>
    <w:rsid w:val="00932BC2"/>
    <w:rsid w:val="009436FB"/>
    <w:rsid w:val="00945CF9"/>
    <w:rsid w:val="0095641B"/>
    <w:rsid w:val="00963380"/>
    <w:rsid w:val="00963B11"/>
    <w:rsid w:val="009647FB"/>
    <w:rsid w:val="0098367B"/>
    <w:rsid w:val="0098471A"/>
    <w:rsid w:val="00984796"/>
    <w:rsid w:val="00991BA1"/>
    <w:rsid w:val="009934FB"/>
    <w:rsid w:val="00995097"/>
    <w:rsid w:val="009A2C04"/>
    <w:rsid w:val="009A66ED"/>
    <w:rsid w:val="009A75A0"/>
    <w:rsid w:val="009B277E"/>
    <w:rsid w:val="009B46BC"/>
    <w:rsid w:val="009B7A6F"/>
    <w:rsid w:val="009C560D"/>
    <w:rsid w:val="009D3021"/>
    <w:rsid w:val="009D678E"/>
    <w:rsid w:val="009E0C58"/>
    <w:rsid w:val="009E2FF7"/>
    <w:rsid w:val="009E44BE"/>
    <w:rsid w:val="009E4FC1"/>
    <w:rsid w:val="009F5999"/>
    <w:rsid w:val="009F6270"/>
    <w:rsid w:val="00A00D1B"/>
    <w:rsid w:val="00A01443"/>
    <w:rsid w:val="00A0300E"/>
    <w:rsid w:val="00A10FE1"/>
    <w:rsid w:val="00A26D54"/>
    <w:rsid w:val="00A311A2"/>
    <w:rsid w:val="00A353FD"/>
    <w:rsid w:val="00A40FA6"/>
    <w:rsid w:val="00A42B67"/>
    <w:rsid w:val="00A44FFE"/>
    <w:rsid w:val="00A461B8"/>
    <w:rsid w:val="00A47F06"/>
    <w:rsid w:val="00A51D29"/>
    <w:rsid w:val="00A5301E"/>
    <w:rsid w:val="00A53AA1"/>
    <w:rsid w:val="00A54B9B"/>
    <w:rsid w:val="00A601E2"/>
    <w:rsid w:val="00A66146"/>
    <w:rsid w:val="00A66ADB"/>
    <w:rsid w:val="00A67132"/>
    <w:rsid w:val="00A72619"/>
    <w:rsid w:val="00A7761B"/>
    <w:rsid w:val="00AA31E1"/>
    <w:rsid w:val="00AA5258"/>
    <w:rsid w:val="00AA7590"/>
    <w:rsid w:val="00AA7E4D"/>
    <w:rsid w:val="00AB2D6A"/>
    <w:rsid w:val="00AB35AB"/>
    <w:rsid w:val="00AB78A7"/>
    <w:rsid w:val="00AC59C1"/>
    <w:rsid w:val="00AD1F5D"/>
    <w:rsid w:val="00AD4D36"/>
    <w:rsid w:val="00AE160C"/>
    <w:rsid w:val="00AE72B8"/>
    <w:rsid w:val="00AF48E5"/>
    <w:rsid w:val="00AF7CAA"/>
    <w:rsid w:val="00B06CF9"/>
    <w:rsid w:val="00B1423A"/>
    <w:rsid w:val="00B211C0"/>
    <w:rsid w:val="00B21592"/>
    <w:rsid w:val="00B25C8A"/>
    <w:rsid w:val="00B26EC9"/>
    <w:rsid w:val="00B27B35"/>
    <w:rsid w:val="00B30283"/>
    <w:rsid w:val="00B3644F"/>
    <w:rsid w:val="00B36B78"/>
    <w:rsid w:val="00B4138B"/>
    <w:rsid w:val="00B43468"/>
    <w:rsid w:val="00B46AF9"/>
    <w:rsid w:val="00B543F2"/>
    <w:rsid w:val="00B5501F"/>
    <w:rsid w:val="00B61AC8"/>
    <w:rsid w:val="00B8704A"/>
    <w:rsid w:val="00B8756E"/>
    <w:rsid w:val="00B91B32"/>
    <w:rsid w:val="00B925A5"/>
    <w:rsid w:val="00B9298F"/>
    <w:rsid w:val="00B9754F"/>
    <w:rsid w:val="00B97CB0"/>
    <w:rsid w:val="00BA07C0"/>
    <w:rsid w:val="00BA0B9A"/>
    <w:rsid w:val="00BB1ED8"/>
    <w:rsid w:val="00BB4BF8"/>
    <w:rsid w:val="00BB5009"/>
    <w:rsid w:val="00BB6FB9"/>
    <w:rsid w:val="00BB7796"/>
    <w:rsid w:val="00BB7A0A"/>
    <w:rsid w:val="00BC1421"/>
    <w:rsid w:val="00BD18AC"/>
    <w:rsid w:val="00BD205A"/>
    <w:rsid w:val="00BD4DC3"/>
    <w:rsid w:val="00BD6056"/>
    <w:rsid w:val="00BE5A6B"/>
    <w:rsid w:val="00BF6A57"/>
    <w:rsid w:val="00BF6AEC"/>
    <w:rsid w:val="00C003A5"/>
    <w:rsid w:val="00C00A64"/>
    <w:rsid w:val="00C01752"/>
    <w:rsid w:val="00C01BDC"/>
    <w:rsid w:val="00C114C7"/>
    <w:rsid w:val="00C16EB2"/>
    <w:rsid w:val="00C208A0"/>
    <w:rsid w:val="00C2796A"/>
    <w:rsid w:val="00C32224"/>
    <w:rsid w:val="00C3321A"/>
    <w:rsid w:val="00C33A9E"/>
    <w:rsid w:val="00C3678B"/>
    <w:rsid w:val="00C64F97"/>
    <w:rsid w:val="00C654CC"/>
    <w:rsid w:val="00C7002C"/>
    <w:rsid w:val="00C8064E"/>
    <w:rsid w:val="00C809C7"/>
    <w:rsid w:val="00C82B77"/>
    <w:rsid w:val="00C83EF8"/>
    <w:rsid w:val="00C845E9"/>
    <w:rsid w:val="00C858D0"/>
    <w:rsid w:val="00C95BD6"/>
    <w:rsid w:val="00C971D2"/>
    <w:rsid w:val="00CA1D82"/>
    <w:rsid w:val="00CA279D"/>
    <w:rsid w:val="00CA4B18"/>
    <w:rsid w:val="00CA63A0"/>
    <w:rsid w:val="00CA65F0"/>
    <w:rsid w:val="00CB1314"/>
    <w:rsid w:val="00CB1463"/>
    <w:rsid w:val="00CB27A3"/>
    <w:rsid w:val="00CB615C"/>
    <w:rsid w:val="00CB63F8"/>
    <w:rsid w:val="00CC106F"/>
    <w:rsid w:val="00CC511E"/>
    <w:rsid w:val="00CC591C"/>
    <w:rsid w:val="00CC5F44"/>
    <w:rsid w:val="00CD14F7"/>
    <w:rsid w:val="00CE2884"/>
    <w:rsid w:val="00CE344F"/>
    <w:rsid w:val="00CE7681"/>
    <w:rsid w:val="00CF36AF"/>
    <w:rsid w:val="00CF6760"/>
    <w:rsid w:val="00D017A9"/>
    <w:rsid w:val="00D06195"/>
    <w:rsid w:val="00D10026"/>
    <w:rsid w:val="00D14F0B"/>
    <w:rsid w:val="00D15AA4"/>
    <w:rsid w:val="00D214B7"/>
    <w:rsid w:val="00D3302B"/>
    <w:rsid w:val="00D34D71"/>
    <w:rsid w:val="00D365E9"/>
    <w:rsid w:val="00D37852"/>
    <w:rsid w:val="00D452E7"/>
    <w:rsid w:val="00D53E76"/>
    <w:rsid w:val="00D555CF"/>
    <w:rsid w:val="00D56A53"/>
    <w:rsid w:val="00D62753"/>
    <w:rsid w:val="00D63C47"/>
    <w:rsid w:val="00D82CE0"/>
    <w:rsid w:val="00D92542"/>
    <w:rsid w:val="00D96201"/>
    <w:rsid w:val="00DA08D6"/>
    <w:rsid w:val="00DB06AC"/>
    <w:rsid w:val="00DB4E12"/>
    <w:rsid w:val="00DC0340"/>
    <w:rsid w:val="00DC5909"/>
    <w:rsid w:val="00DC7A71"/>
    <w:rsid w:val="00DD21B1"/>
    <w:rsid w:val="00DE0ACE"/>
    <w:rsid w:val="00DF18B8"/>
    <w:rsid w:val="00E0549A"/>
    <w:rsid w:val="00E15CD3"/>
    <w:rsid w:val="00E247AC"/>
    <w:rsid w:val="00E24D6C"/>
    <w:rsid w:val="00E2682A"/>
    <w:rsid w:val="00E27583"/>
    <w:rsid w:val="00E437B7"/>
    <w:rsid w:val="00E62F86"/>
    <w:rsid w:val="00E63A81"/>
    <w:rsid w:val="00E65A79"/>
    <w:rsid w:val="00E71450"/>
    <w:rsid w:val="00E715D2"/>
    <w:rsid w:val="00E731BC"/>
    <w:rsid w:val="00E73F76"/>
    <w:rsid w:val="00E74402"/>
    <w:rsid w:val="00E909E5"/>
    <w:rsid w:val="00E9108B"/>
    <w:rsid w:val="00E91180"/>
    <w:rsid w:val="00E92228"/>
    <w:rsid w:val="00EA040A"/>
    <w:rsid w:val="00EB04D3"/>
    <w:rsid w:val="00EB1876"/>
    <w:rsid w:val="00EB1BF8"/>
    <w:rsid w:val="00ED3FEF"/>
    <w:rsid w:val="00ED5280"/>
    <w:rsid w:val="00ED55A7"/>
    <w:rsid w:val="00ED6CBA"/>
    <w:rsid w:val="00EE54BF"/>
    <w:rsid w:val="00EF0E29"/>
    <w:rsid w:val="00EF1533"/>
    <w:rsid w:val="00EF37BD"/>
    <w:rsid w:val="00F10284"/>
    <w:rsid w:val="00F121B8"/>
    <w:rsid w:val="00F14A17"/>
    <w:rsid w:val="00F20904"/>
    <w:rsid w:val="00F20BC6"/>
    <w:rsid w:val="00F2682C"/>
    <w:rsid w:val="00F319C2"/>
    <w:rsid w:val="00F345ED"/>
    <w:rsid w:val="00F40742"/>
    <w:rsid w:val="00F42AD6"/>
    <w:rsid w:val="00F47DBA"/>
    <w:rsid w:val="00F5394A"/>
    <w:rsid w:val="00F539DC"/>
    <w:rsid w:val="00F55717"/>
    <w:rsid w:val="00F61F60"/>
    <w:rsid w:val="00F6201F"/>
    <w:rsid w:val="00F63423"/>
    <w:rsid w:val="00F75ABD"/>
    <w:rsid w:val="00F812A0"/>
    <w:rsid w:val="00F82C25"/>
    <w:rsid w:val="00F84C94"/>
    <w:rsid w:val="00F866FF"/>
    <w:rsid w:val="00F900E9"/>
    <w:rsid w:val="00F943AA"/>
    <w:rsid w:val="00F96A2E"/>
    <w:rsid w:val="00FA32D5"/>
    <w:rsid w:val="00FB092B"/>
    <w:rsid w:val="00FB2321"/>
    <w:rsid w:val="00FB2700"/>
    <w:rsid w:val="00FB2949"/>
    <w:rsid w:val="00FB490C"/>
    <w:rsid w:val="00FC3244"/>
    <w:rsid w:val="00FD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Closing" w:uiPriority="1" w:qFormat="1"/>
    <w:lsdException w:name="Signature" w:uiPriority="1" w:qFormat="1"/>
    <w:lsdException w:name="Default Paragraph Font" w:uiPriority="1"/>
    <w:lsdException w:name="Body Text" w:uiPriority="1" w:qFormat="1"/>
    <w:lsdException w:name="Body Text Indent" w:uiPriority="1" w:qFormat="1"/>
    <w:lsdException w:name="Subtitle" w:semiHidden="0" w:uiPriority="1" w:unhideWhenUsed="0" w:qFormat="1"/>
    <w:lsdException w:name="Body Text First Indent" w:uiPriority="9" w:qFormat="1"/>
    <w:lsdException w:name="Body Text First Indent 2" w:uiPriority="9" w:qFormat="1"/>
    <w:lsdException w:name="Body Text 2" w:uiPriority="9" w:qFormat="1"/>
    <w:lsdException w:name="Body Text Indent 2" w:uiPriority="9" w:qFormat="1"/>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2D26"/>
    <w:rPr>
      <w:sz w:val="24"/>
      <w:szCs w:val="24"/>
    </w:rPr>
  </w:style>
  <w:style w:type="paragraph" w:styleId="Heading1">
    <w:name w:val="heading 1"/>
    <w:basedOn w:val="Normal"/>
    <w:next w:val="BodyTextFirstIndent"/>
    <w:link w:val="Heading1Char"/>
    <w:uiPriority w:val="1"/>
    <w:qFormat/>
    <w:rsid w:val="00036592"/>
    <w:pPr>
      <w:keepNext/>
      <w:spacing w:after="240"/>
      <w:jc w:val="center"/>
      <w:outlineLvl w:val="0"/>
    </w:pPr>
    <w:rPr>
      <w:rFonts w:cs="Arial"/>
      <w:b/>
      <w:bCs/>
      <w:sz w:val="26"/>
      <w:szCs w:val="32"/>
    </w:rPr>
  </w:style>
  <w:style w:type="paragraph" w:styleId="Heading2">
    <w:name w:val="heading 2"/>
    <w:basedOn w:val="Normal"/>
    <w:next w:val="BodyTextFirstIndent"/>
    <w:link w:val="Heading2Char"/>
    <w:uiPriority w:val="1"/>
    <w:qFormat/>
    <w:rsid w:val="00486973"/>
    <w:pPr>
      <w:keepNext/>
      <w:numPr>
        <w:numId w:val="31"/>
      </w:numPr>
      <w:spacing w:after="240"/>
      <w:outlineLvl w:val="1"/>
    </w:pPr>
    <w:rPr>
      <w:rFonts w:cs="Arial"/>
      <w:b/>
      <w:bCs/>
      <w:iCs/>
      <w:szCs w:val="28"/>
    </w:rPr>
  </w:style>
  <w:style w:type="paragraph" w:styleId="Heading3">
    <w:name w:val="heading 3"/>
    <w:basedOn w:val="Normal"/>
    <w:next w:val="BodyTextFirstIndent"/>
    <w:link w:val="Heading3Char"/>
    <w:uiPriority w:val="9"/>
    <w:qFormat/>
    <w:rsid w:val="00BA07C0"/>
    <w:pPr>
      <w:spacing w:after="240"/>
      <w:ind w:left="720"/>
      <w:outlineLvl w:val="2"/>
    </w:pPr>
    <w:rPr>
      <w:rFonts w:cs="Arial"/>
      <w:b/>
      <w:bCs/>
      <w:szCs w:val="26"/>
    </w:rPr>
  </w:style>
  <w:style w:type="paragraph" w:styleId="Heading4">
    <w:name w:val="heading 4"/>
    <w:basedOn w:val="Normal"/>
    <w:next w:val="BodyTextFirstIndent"/>
    <w:link w:val="Heading4Char"/>
    <w:uiPriority w:val="1"/>
    <w:qFormat/>
    <w:rsid w:val="00CB1314"/>
    <w:pPr>
      <w:spacing w:after="120"/>
      <w:ind w:left="720"/>
      <w:outlineLvl w:val="3"/>
    </w:pPr>
    <w:rPr>
      <w:b/>
      <w:bCs/>
      <w:i/>
      <w:szCs w:val="28"/>
    </w:rPr>
  </w:style>
  <w:style w:type="paragraph" w:styleId="Heading5">
    <w:name w:val="heading 5"/>
    <w:basedOn w:val="Normal"/>
    <w:next w:val="BodyTextFirstIndent"/>
    <w:link w:val="Heading5Char"/>
    <w:uiPriority w:val="1"/>
    <w:qFormat/>
    <w:rsid w:val="001A15EF"/>
    <w:pPr>
      <w:spacing w:after="240"/>
      <w:outlineLvl w:val="4"/>
    </w:pPr>
    <w:rPr>
      <w:bCs/>
      <w:iCs/>
      <w:szCs w:val="26"/>
    </w:rPr>
  </w:style>
  <w:style w:type="paragraph" w:styleId="Heading6">
    <w:name w:val="heading 6"/>
    <w:basedOn w:val="Normal"/>
    <w:next w:val="BodyTextFirstIndent"/>
    <w:link w:val="Heading6Char"/>
    <w:uiPriority w:val="1"/>
    <w:qFormat/>
    <w:rsid w:val="001A15EF"/>
    <w:pPr>
      <w:spacing w:after="240"/>
      <w:outlineLvl w:val="5"/>
    </w:pPr>
    <w:rPr>
      <w:bCs/>
      <w:szCs w:val="22"/>
    </w:rPr>
  </w:style>
  <w:style w:type="paragraph" w:styleId="Heading7">
    <w:name w:val="heading 7"/>
    <w:basedOn w:val="Normal"/>
    <w:next w:val="BodyTextFirstIndent"/>
    <w:link w:val="Heading7Char"/>
    <w:uiPriority w:val="1"/>
    <w:qFormat/>
    <w:rsid w:val="001A15EF"/>
    <w:pPr>
      <w:spacing w:after="240"/>
      <w:outlineLvl w:val="6"/>
    </w:pPr>
  </w:style>
  <w:style w:type="paragraph" w:styleId="Heading8">
    <w:name w:val="heading 8"/>
    <w:basedOn w:val="Normal"/>
    <w:next w:val="BodyTextFirstIndent"/>
    <w:link w:val="Heading8Char"/>
    <w:uiPriority w:val="1"/>
    <w:qFormat/>
    <w:rsid w:val="001A15EF"/>
    <w:pPr>
      <w:spacing w:after="240"/>
      <w:outlineLvl w:val="7"/>
    </w:pPr>
    <w:rPr>
      <w:iCs/>
    </w:rPr>
  </w:style>
  <w:style w:type="paragraph" w:styleId="Heading9">
    <w:name w:val="heading 9"/>
    <w:basedOn w:val="Normal"/>
    <w:next w:val="Normal"/>
    <w:link w:val="Heading9Char"/>
    <w:uiPriority w:val="1"/>
    <w:qFormat/>
    <w:rsid w:val="001A15EF"/>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rsid w:val="001A15EF"/>
    <w:pPr>
      <w:spacing w:after="240" w:line="480" w:lineRule="auto"/>
      <w:ind w:left="1440" w:right="1440"/>
      <w:jc w:val="both"/>
    </w:pPr>
  </w:style>
  <w:style w:type="paragraph" w:customStyle="1" w:styleId="BlockText2LeftJustified">
    <w:name w:val="Block Text 2 Left Justified"/>
    <w:basedOn w:val="Normal"/>
    <w:uiPriority w:val="9"/>
    <w:qFormat/>
    <w:rsid w:val="001A15EF"/>
    <w:pPr>
      <w:spacing w:after="240"/>
      <w:ind w:left="1440" w:right="1440"/>
    </w:pPr>
  </w:style>
  <w:style w:type="paragraph" w:customStyle="1" w:styleId="BlockTextLeftJustified">
    <w:name w:val="Block Text Left Justified"/>
    <w:basedOn w:val="Normal"/>
    <w:uiPriority w:val="9"/>
    <w:qFormat/>
    <w:rsid w:val="001A15EF"/>
    <w:pPr>
      <w:spacing w:after="240"/>
      <w:ind w:left="720" w:right="720"/>
    </w:pPr>
  </w:style>
  <w:style w:type="paragraph" w:customStyle="1" w:styleId="BodyText2LeftJustified">
    <w:name w:val="Body Text 2 Left Justified"/>
    <w:basedOn w:val="Normal"/>
    <w:uiPriority w:val="9"/>
    <w:qFormat/>
    <w:rsid w:val="001A15EF"/>
    <w:pPr>
      <w:spacing w:line="480" w:lineRule="auto"/>
    </w:pPr>
  </w:style>
  <w:style w:type="paragraph" w:customStyle="1" w:styleId="BodyTextContinued">
    <w:name w:val="Body Text Continued"/>
    <w:basedOn w:val="Normal"/>
    <w:next w:val="BodyTextFirstIndent"/>
    <w:uiPriority w:val="9"/>
    <w:qFormat/>
    <w:rsid w:val="001A15EF"/>
    <w:pPr>
      <w:jc w:val="both"/>
    </w:pPr>
  </w:style>
  <w:style w:type="paragraph" w:styleId="BodyText">
    <w:name w:val="Body Text"/>
    <w:basedOn w:val="Normal"/>
    <w:link w:val="BodyTextChar"/>
    <w:uiPriority w:val="1"/>
    <w:qFormat/>
    <w:rsid w:val="001A15EF"/>
    <w:pPr>
      <w:spacing w:after="240"/>
      <w:jc w:val="both"/>
    </w:pPr>
  </w:style>
  <w:style w:type="character" w:customStyle="1" w:styleId="BodyTextChar">
    <w:name w:val="Body Text Char"/>
    <w:basedOn w:val="DefaultParagraphFont"/>
    <w:link w:val="BodyText"/>
    <w:uiPriority w:val="1"/>
    <w:rsid w:val="001A15EF"/>
    <w:rPr>
      <w:sz w:val="24"/>
      <w:szCs w:val="24"/>
    </w:rPr>
  </w:style>
  <w:style w:type="paragraph" w:styleId="BodyTextFirstIndent">
    <w:name w:val="Body Text First Indent"/>
    <w:basedOn w:val="Normal"/>
    <w:link w:val="BodyTextFirstIndentChar"/>
    <w:uiPriority w:val="9"/>
    <w:qFormat/>
    <w:rsid w:val="001A15EF"/>
    <w:pPr>
      <w:spacing w:after="240"/>
      <w:ind w:firstLine="720"/>
      <w:jc w:val="both"/>
    </w:pPr>
  </w:style>
  <w:style w:type="character" w:customStyle="1" w:styleId="BodyTextFirstIndentChar">
    <w:name w:val="Body Text First Indent Char"/>
    <w:basedOn w:val="BodyTextChar"/>
    <w:link w:val="BodyTextFirstIndent"/>
    <w:uiPriority w:val="9"/>
    <w:rsid w:val="001A15EF"/>
    <w:rPr>
      <w:sz w:val="24"/>
      <w:szCs w:val="24"/>
    </w:rPr>
  </w:style>
  <w:style w:type="paragraph" w:customStyle="1" w:styleId="BodyTextFirstIndent2LeftJustified">
    <w:name w:val="Body Text First Indent 2 Left Justified"/>
    <w:basedOn w:val="Normal"/>
    <w:uiPriority w:val="9"/>
    <w:qFormat/>
    <w:rsid w:val="001A15EF"/>
    <w:pPr>
      <w:spacing w:line="480" w:lineRule="auto"/>
      <w:ind w:firstLine="720"/>
    </w:pPr>
  </w:style>
  <w:style w:type="paragraph" w:customStyle="1" w:styleId="BodyTextFirstIndentLeftJustified">
    <w:name w:val="Body Text First Indent Left Justified"/>
    <w:basedOn w:val="Normal"/>
    <w:uiPriority w:val="9"/>
    <w:qFormat/>
    <w:rsid w:val="001A15EF"/>
    <w:pPr>
      <w:spacing w:after="240"/>
      <w:ind w:firstLine="720"/>
    </w:pPr>
  </w:style>
  <w:style w:type="paragraph" w:customStyle="1" w:styleId="BodyTextIndent2LeftJustified">
    <w:name w:val="Body Text Indent 2 Left Justified"/>
    <w:basedOn w:val="Normal"/>
    <w:uiPriority w:val="9"/>
    <w:qFormat/>
    <w:rsid w:val="001A15EF"/>
    <w:pPr>
      <w:spacing w:line="480" w:lineRule="auto"/>
      <w:ind w:left="720"/>
    </w:pPr>
  </w:style>
  <w:style w:type="paragraph" w:customStyle="1" w:styleId="BodyTextIndentLeftJustified">
    <w:name w:val="Body Text Indent Left Justified"/>
    <w:basedOn w:val="Normal"/>
    <w:uiPriority w:val="9"/>
    <w:qFormat/>
    <w:rsid w:val="001A15EF"/>
    <w:pPr>
      <w:spacing w:after="240"/>
      <w:ind w:left="720"/>
    </w:pPr>
  </w:style>
  <w:style w:type="paragraph" w:customStyle="1" w:styleId="BodyTextLeftJustified">
    <w:name w:val="Body Text Left Justified"/>
    <w:basedOn w:val="Normal"/>
    <w:uiPriority w:val="9"/>
    <w:qFormat/>
    <w:rsid w:val="001A15EF"/>
    <w:pPr>
      <w:spacing w:after="240"/>
    </w:pPr>
  </w:style>
  <w:style w:type="paragraph" w:customStyle="1" w:styleId="BodyTextNS">
    <w:name w:val="Body Text NS"/>
    <w:basedOn w:val="Normal"/>
    <w:uiPriority w:val="9"/>
    <w:qFormat/>
    <w:rsid w:val="001A15EF"/>
    <w:pPr>
      <w:jc w:val="both"/>
    </w:pPr>
  </w:style>
  <w:style w:type="paragraph" w:customStyle="1" w:styleId="HangingIndent">
    <w:name w:val="Hanging Indent"/>
    <w:basedOn w:val="Normal"/>
    <w:uiPriority w:val="9"/>
    <w:qFormat/>
    <w:rsid w:val="001A15EF"/>
    <w:pPr>
      <w:spacing w:after="240"/>
      <w:ind w:left="720" w:hanging="720"/>
      <w:jc w:val="both"/>
    </w:pPr>
  </w:style>
  <w:style w:type="paragraph" w:customStyle="1" w:styleId="HangingIndent2">
    <w:name w:val="Hanging Indent 2"/>
    <w:basedOn w:val="Normal"/>
    <w:uiPriority w:val="9"/>
    <w:qFormat/>
    <w:rsid w:val="001A15EF"/>
    <w:pPr>
      <w:spacing w:line="480" w:lineRule="auto"/>
      <w:ind w:left="720" w:hanging="720"/>
      <w:jc w:val="both"/>
    </w:pPr>
  </w:style>
  <w:style w:type="paragraph" w:customStyle="1" w:styleId="HangingIndent2LeftJustified">
    <w:name w:val="Hanging Indent 2 Left Justified"/>
    <w:basedOn w:val="Normal"/>
    <w:uiPriority w:val="9"/>
    <w:qFormat/>
    <w:rsid w:val="001A15EF"/>
    <w:pPr>
      <w:spacing w:line="480" w:lineRule="auto"/>
      <w:ind w:left="720" w:hanging="720"/>
    </w:pPr>
  </w:style>
  <w:style w:type="paragraph" w:customStyle="1" w:styleId="HangingIndentLeftJustified">
    <w:name w:val="Hanging Indent Left Justified"/>
    <w:basedOn w:val="Normal"/>
    <w:uiPriority w:val="9"/>
    <w:qFormat/>
    <w:rsid w:val="001A15EF"/>
    <w:pPr>
      <w:spacing w:after="240"/>
      <w:ind w:left="720" w:hanging="720"/>
    </w:pPr>
  </w:style>
  <w:style w:type="paragraph" w:customStyle="1" w:styleId="TableBody">
    <w:name w:val="TableBody"/>
    <w:basedOn w:val="Normal"/>
    <w:uiPriority w:val="1"/>
    <w:qFormat/>
    <w:rsid w:val="001A15EF"/>
  </w:style>
  <w:style w:type="character" w:customStyle="1" w:styleId="Heading1Char">
    <w:name w:val="Heading 1 Char"/>
    <w:basedOn w:val="DefaultParagraphFont"/>
    <w:link w:val="Heading1"/>
    <w:uiPriority w:val="1"/>
    <w:rsid w:val="00036592"/>
    <w:rPr>
      <w:rFonts w:cs="Arial"/>
      <w:b/>
      <w:bCs/>
      <w:sz w:val="26"/>
      <w:szCs w:val="32"/>
    </w:rPr>
  </w:style>
  <w:style w:type="character" w:customStyle="1" w:styleId="Heading2Char">
    <w:name w:val="Heading 2 Char"/>
    <w:basedOn w:val="DefaultParagraphFont"/>
    <w:link w:val="Heading2"/>
    <w:uiPriority w:val="1"/>
    <w:rsid w:val="00486973"/>
    <w:rPr>
      <w:rFonts w:cs="Arial"/>
      <w:b/>
      <w:bCs/>
      <w:iCs/>
      <w:sz w:val="24"/>
      <w:szCs w:val="28"/>
    </w:rPr>
  </w:style>
  <w:style w:type="character" w:customStyle="1" w:styleId="Heading3Char">
    <w:name w:val="Heading 3 Char"/>
    <w:basedOn w:val="DefaultParagraphFont"/>
    <w:link w:val="Heading3"/>
    <w:uiPriority w:val="9"/>
    <w:rsid w:val="00BA07C0"/>
    <w:rPr>
      <w:rFonts w:cs="Arial"/>
      <w:b/>
      <w:bCs/>
      <w:sz w:val="24"/>
      <w:szCs w:val="26"/>
    </w:rPr>
  </w:style>
  <w:style w:type="character" w:customStyle="1" w:styleId="Heading4Char">
    <w:name w:val="Heading 4 Char"/>
    <w:basedOn w:val="DefaultParagraphFont"/>
    <w:link w:val="Heading4"/>
    <w:uiPriority w:val="1"/>
    <w:rsid w:val="00CB1314"/>
    <w:rPr>
      <w:b/>
      <w:bCs/>
      <w:i/>
      <w:sz w:val="24"/>
      <w:szCs w:val="28"/>
    </w:rPr>
  </w:style>
  <w:style w:type="character" w:customStyle="1" w:styleId="Heading5Char">
    <w:name w:val="Heading 5 Char"/>
    <w:basedOn w:val="DefaultParagraphFont"/>
    <w:link w:val="Heading5"/>
    <w:uiPriority w:val="1"/>
    <w:rsid w:val="001A15EF"/>
    <w:rPr>
      <w:bCs/>
      <w:iCs/>
      <w:sz w:val="24"/>
      <w:szCs w:val="26"/>
    </w:rPr>
  </w:style>
  <w:style w:type="character" w:customStyle="1" w:styleId="Heading6Char">
    <w:name w:val="Heading 6 Char"/>
    <w:basedOn w:val="DefaultParagraphFont"/>
    <w:link w:val="Heading6"/>
    <w:uiPriority w:val="1"/>
    <w:rsid w:val="001A15EF"/>
    <w:rPr>
      <w:bCs/>
      <w:sz w:val="24"/>
      <w:szCs w:val="22"/>
    </w:rPr>
  </w:style>
  <w:style w:type="character" w:customStyle="1" w:styleId="Heading7Char">
    <w:name w:val="Heading 7 Char"/>
    <w:basedOn w:val="DefaultParagraphFont"/>
    <w:link w:val="Heading7"/>
    <w:uiPriority w:val="1"/>
    <w:rsid w:val="001A15EF"/>
    <w:rPr>
      <w:sz w:val="24"/>
      <w:szCs w:val="24"/>
    </w:rPr>
  </w:style>
  <w:style w:type="character" w:customStyle="1" w:styleId="Heading8Char">
    <w:name w:val="Heading 8 Char"/>
    <w:basedOn w:val="DefaultParagraphFont"/>
    <w:link w:val="Heading8"/>
    <w:uiPriority w:val="1"/>
    <w:rsid w:val="001A15EF"/>
    <w:rPr>
      <w:iCs/>
      <w:sz w:val="24"/>
      <w:szCs w:val="24"/>
    </w:rPr>
  </w:style>
  <w:style w:type="character" w:customStyle="1" w:styleId="Heading9Char">
    <w:name w:val="Heading 9 Char"/>
    <w:basedOn w:val="DefaultParagraphFont"/>
    <w:link w:val="Heading9"/>
    <w:uiPriority w:val="1"/>
    <w:rsid w:val="001A15EF"/>
    <w:rPr>
      <w:rFonts w:cs="Arial"/>
      <w:sz w:val="24"/>
      <w:szCs w:val="22"/>
    </w:rPr>
  </w:style>
  <w:style w:type="paragraph" w:styleId="Title">
    <w:name w:val="Title"/>
    <w:basedOn w:val="Normal"/>
    <w:next w:val="BodyTextFirstIndent"/>
    <w:link w:val="TitleChar"/>
    <w:uiPriority w:val="1"/>
    <w:qFormat/>
    <w:rsid w:val="001A15EF"/>
    <w:pPr>
      <w:keepNext/>
      <w:keepLines/>
      <w:spacing w:after="240"/>
      <w:jc w:val="center"/>
      <w:outlineLvl w:val="0"/>
    </w:pPr>
    <w:rPr>
      <w:rFonts w:cs="Arial"/>
      <w:b/>
      <w:bCs/>
      <w:caps/>
      <w:kern w:val="28"/>
      <w:szCs w:val="32"/>
    </w:rPr>
  </w:style>
  <w:style w:type="character" w:customStyle="1" w:styleId="TitleChar">
    <w:name w:val="Title Char"/>
    <w:basedOn w:val="DefaultParagraphFont"/>
    <w:link w:val="Title"/>
    <w:uiPriority w:val="1"/>
    <w:rsid w:val="001A15EF"/>
    <w:rPr>
      <w:rFonts w:cs="Arial"/>
      <w:b/>
      <w:bCs/>
      <w:caps/>
      <w:kern w:val="28"/>
      <w:sz w:val="24"/>
      <w:szCs w:val="32"/>
    </w:rPr>
  </w:style>
  <w:style w:type="paragraph" w:styleId="Closing">
    <w:name w:val="Closing"/>
    <w:basedOn w:val="Normal"/>
    <w:link w:val="ClosingChar"/>
    <w:uiPriority w:val="1"/>
    <w:qFormat/>
    <w:rsid w:val="001A15EF"/>
    <w:pPr>
      <w:keepNext/>
      <w:keepLines/>
      <w:spacing w:after="720"/>
      <w:ind w:left="5040"/>
    </w:pPr>
  </w:style>
  <w:style w:type="character" w:customStyle="1" w:styleId="ClosingChar">
    <w:name w:val="Closing Char"/>
    <w:basedOn w:val="DefaultParagraphFont"/>
    <w:link w:val="Closing"/>
    <w:uiPriority w:val="1"/>
    <w:rsid w:val="001A15EF"/>
    <w:rPr>
      <w:sz w:val="24"/>
      <w:szCs w:val="24"/>
    </w:rPr>
  </w:style>
  <w:style w:type="paragraph" w:styleId="Signature">
    <w:name w:val="Signature"/>
    <w:basedOn w:val="Normal"/>
    <w:link w:val="SignatureChar"/>
    <w:uiPriority w:val="1"/>
    <w:qFormat/>
    <w:rsid w:val="001A15EF"/>
    <w:pPr>
      <w:keepLines/>
      <w:spacing w:after="240"/>
      <w:ind w:left="5040"/>
    </w:pPr>
  </w:style>
  <w:style w:type="character" w:customStyle="1" w:styleId="SignatureChar">
    <w:name w:val="Signature Char"/>
    <w:basedOn w:val="DefaultParagraphFont"/>
    <w:link w:val="Signature"/>
    <w:uiPriority w:val="1"/>
    <w:rsid w:val="001A15EF"/>
    <w:rPr>
      <w:sz w:val="24"/>
      <w:szCs w:val="24"/>
    </w:rPr>
  </w:style>
  <w:style w:type="paragraph" w:styleId="BodyTextIndent">
    <w:name w:val="Body Text Indent"/>
    <w:basedOn w:val="Normal"/>
    <w:link w:val="BodyTextIndentChar"/>
    <w:uiPriority w:val="1"/>
    <w:qFormat/>
    <w:rsid w:val="001A15EF"/>
    <w:pPr>
      <w:spacing w:after="240"/>
      <w:ind w:left="720"/>
      <w:jc w:val="both"/>
    </w:pPr>
  </w:style>
  <w:style w:type="character" w:customStyle="1" w:styleId="BodyTextIndentChar">
    <w:name w:val="Body Text Indent Char"/>
    <w:basedOn w:val="DefaultParagraphFont"/>
    <w:link w:val="BodyTextIndent"/>
    <w:uiPriority w:val="1"/>
    <w:rsid w:val="001A15EF"/>
    <w:rPr>
      <w:sz w:val="24"/>
      <w:szCs w:val="24"/>
    </w:rPr>
  </w:style>
  <w:style w:type="paragraph" w:styleId="Subtitle">
    <w:name w:val="Subtitle"/>
    <w:basedOn w:val="Normal"/>
    <w:next w:val="BodyTextFirstIndent"/>
    <w:link w:val="SubtitleChar"/>
    <w:uiPriority w:val="1"/>
    <w:qFormat/>
    <w:rsid w:val="001A15EF"/>
    <w:pPr>
      <w:keepNext/>
      <w:keepLines/>
      <w:spacing w:after="240"/>
      <w:jc w:val="center"/>
      <w:outlineLvl w:val="1"/>
    </w:pPr>
    <w:rPr>
      <w:rFonts w:cs="Arial"/>
      <w:b/>
      <w:caps/>
    </w:rPr>
  </w:style>
  <w:style w:type="character" w:customStyle="1" w:styleId="SubtitleChar">
    <w:name w:val="Subtitle Char"/>
    <w:basedOn w:val="DefaultParagraphFont"/>
    <w:link w:val="Subtitle"/>
    <w:uiPriority w:val="1"/>
    <w:rsid w:val="001A15EF"/>
    <w:rPr>
      <w:rFonts w:cs="Arial"/>
      <w:b/>
      <w:caps/>
      <w:sz w:val="24"/>
      <w:szCs w:val="24"/>
    </w:rPr>
  </w:style>
  <w:style w:type="paragraph" w:styleId="BodyTextFirstIndent2">
    <w:name w:val="Body Text First Indent 2"/>
    <w:basedOn w:val="Normal"/>
    <w:link w:val="BodyTextFirstIndent2Char"/>
    <w:uiPriority w:val="9"/>
    <w:qFormat/>
    <w:rsid w:val="001A15EF"/>
    <w:pPr>
      <w:spacing w:line="480" w:lineRule="auto"/>
      <w:ind w:firstLine="720"/>
      <w:jc w:val="both"/>
    </w:pPr>
  </w:style>
  <w:style w:type="character" w:customStyle="1" w:styleId="BodyTextFirstIndent2Char">
    <w:name w:val="Body Text First Indent 2 Char"/>
    <w:basedOn w:val="BodyTextIndentChar"/>
    <w:link w:val="BodyTextFirstIndent2"/>
    <w:uiPriority w:val="9"/>
    <w:rsid w:val="001A15EF"/>
    <w:rPr>
      <w:sz w:val="24"/>
      <w:szCs w:val="24"/>
    </w:rPr>
  </w:style>
  <w:style w:type="paragraph" w:styleId="BodyText2">
    <w:name w:val="Body Text 2"/>
    <w:basedOn w:val="Normal"/>
    <w:link w:val="BodyText2Char"/>
    <w:uiPriority w:val="9"/>
    <w:qFormat/>
    <w:rsid w:val="001A15EF"/>
    <w:pPr>
      <w:spacing w:line="480" w:lineRule="auto"/>
      <w:jc w:val="both"/>
    </w:pPr>
  </w:style>
  <w:style w:type="character" w:customStyle="1" w:styleId="BodyText2Char">
    <w:name w:val="Body Text 2 Char"/>
    <w:basedOn w:val="DefaultParagraphFont"/>
    <w:link w:val="BodyText2"/>
    <w:uiPriority w:val="9"/>
    <w:rsid w:val="001A15EF"/>
    <w:rPr>
      <w:sz w:val="24"/>
      <w:szCs w:val="24"/>
    </w:rPr>
  </w:style>
  <w:style w:type="paragraph" w:styleId="BodyTextIndent2">
    <w:name w:val="Body Text Indent 2"/>
    <w:basedOn w:val="Normal"/>
    <w:link w:val="BodyTextIndent2Char"/>
    <w:uiPriority w:val="9"/>
    <w:qFormat/>
    <w:rsid w:val="001A15EF"/>
    <w:pPr>
      <w:spacing w:line="480" w:lineRule="auto"/>
      <w:ind w:left="720"/>
      <w:jc w:val="both"/>
    </w:pPr>
  </w:style>
  <w:style w:type="character" w:customStyle="1" w:styleId="BodyTextIndent2Char">
    <w:name w:val="Body Text Indent 2 Char"/>
    <w:basedOn w:val="DefaultParagraphFont"/>
    <w:link w:val="BodyTextIndent2"/>
    <w:uiPriority w:val="9"/>
    <w:rsid w:val="001A15EF"/>
    <w:rPr>
      <w:sz w:val="24"/>
      <w:szCs w:val="24"/>
    </w:rPr>
  </w:style>
  <w:style w:type="paragraph" w:styleId="BlockText">
    <w:name w:val="Block Text"/>
    <w:basedOn w:val="Normal"/>
    <w:uiPriority w:val="1"/>
    <w:qFormat/>
    <w:rsid w:val="001A15EF"/>
    <w:pPr>
      <w:spacing w:after="240"/>
      <w:ind w:left="720" w:right="720"/>
      <w:jc w:val="both"/>
    </w:pPr>
  </w:style>
  <w:style w:type="paragraph" w:styleId="ListParagraph">
    <w:name w:val="List Paragraph"/>
    <w:basedOn w:val="Normal"/>
    <w:uiPriority w:val="34"/>
    <w:qFormat/>
    <w:rsid w:val="008F429B"/>
    <w:pPr>
      <w:ind w:left="720"/>
      <w:contextualSpacing/>
    </w:pPr>
  </w:style>
  <w:style w:type="paragraph" w:styleId="Header">
    <w:name w:val="header"/>
    <w:basedOn w:val="Normal"/>
    <w:link w:val="HeaderChar"/>
    <w:uiPriority w:val="99"/>
    <w:unhideWhenUsed/>
    <w:rsid w:val="00CA279D"/>
    <w:pPr>
      <w:tabs>
        <w:tab w:val="center" w:pos="4680"/>
        <w:tab w:val="right" w:pos="9360"/>
      </w:tabs>
    </w:pPr>
  </w:style>
  <w:style w:type="character" w:customStyle="1" w:styleId="HeaderChar">
    <w:name w:val="Header Char"/>
    <w:basedOn w:val="DefaultParagraphFont"/>
    <w:link w:val="Header"/>
    <w:uiPriority w:val="99"/>
    <w:rsid w:val="00CA279D"/>
    <w:rPr>
      <w:sz w:val="24"/>
      <w:szCs w:val="24"/>
    </w:rPr>
  </w:style>
  <w:style w:type="paragraph" w:styleId="Footer">
    <w:name w:val="footer"/>
    <w:basedOn w:val="Normal"/>
    <w:link w:val="FooterChar"/>
    <w:uiPriority w:val="99"/>
    <w:unhideWhenUsed/>
    <w:rsid w:val="00CA279D"/>
    <w:pPr>
      <w:tabs>
        <w:tab w:val="center" w:pos="4680"/>
        <w:tab w:val="right" w:pos="9360"/>
      </w:tabs>
    </w:pPr>
  </w:style>
  <w:style w:type="character" w:customStyle="1" w:styleId="FooterChar">
    <w:name w:val="Footer Char"/>
    <w:basedOn w:val="DefaultParagraphFont"/>
    <w:link w:val="Footer"/>
    <w:uiPriority w:val="99"/>
    <w:rsid w:val="00CA279D"/>
    <w:rPr>
      <w:sz w:val="24"/>
      <w:szCs w:val="24"/>
    </w:rPr>
  </w:style>
  <w:style w:type="paragraph" w:styleId="FootnoteText">
    <w:name w:val="footnote text"/>
    <w:basedOn w:val="Normal"/>
    <w:link w:val="FootnoteTextChar"/>
    <w:uiPriority w:val="99"/>
    <w:rsid w:val="002F4A22"/>
    <w:rPr>
      <w:rFonts w:ascii="Garamond" w:hAnsi="Garamond"/>
      <w:sz w:val="20"/>
      <w:szCs w:val="20"/>
    </w:rPr>
  </w:style>
  <w:style w:type="character" w:customStyle="1" w:styleId="FootnoteTextChar">
    <w:name w:val="Footnote Text Char"/>
    <w:basedOn w:val="DefaultParagraphFont"/>
    <w:link w:val="FootnoteText"/>
    <w:uiPriority w:val="99"/>
    <w:rsid w:val="002F4A22"/>
    <w:rPr>
      <w:rFonts w:ascii="Garamond" w:hAnsi="Garamond"/>
    </w:rPr>
  </w:style>
  <w:style w:type="character" w:styleId="FootnoteReference">
    <w:name w:val="footnote reference"/>
    <w:basedOn w:val="DefaultParagraphFont"/>
    <w:uiPriority w:val="99"/>
    <w:rsid w:val="002F4A22"/>
    <w:rPr>
      <w:rFonts w:cs="Times New Roman"/>
      <w:vertAlign w:val="superscript"/>
    </w:rPr>
  </w:style>
  <w:style w:type="character" w:styleId="Hyperlink">
    <w:name w:val="Hyperlink"/>
    <w:basedOn w:val="DefaultParagraphFont"/>
    <w:uiPriority w:val="99"/>
    <w:rsid w:val="002F4A22"/>
    <w:rPr>
      <w:rFonts w:cs="Times New Roman"/>
      <w:color w:val="0000FF"/>
      <w:u w:val="single"/>
    </w:rPr>
  </w:style>
  <w:style w:type="paragraph" w:customStyle="1" w:styleId="TableHeading">
    <w:name w:val="Table Heading"/>
    <w:basedOn w:val="Normal"/>
    <w:rsid w:val="00F5394A"/>
    <w:pPr>
      <w:spacing w:after="240"/>
      <w:ind w:left="720"/>
      <w:jc w:val="both"/>
    </w:pPr>
    <w:rPr>
      <w:b/>
      <w:caps/>
    </w:rPr>
  </w:style>
  <w:style w:type="paragraph" w:customStyle="1" w:styleId="TableData">
    <w:name w:val="Table Data"/>
    <w:basedOn w:val="Normal"/>
    <w:rsid w:val="00F5394A"/>
    <w:pPr>
      <w:spacing w:after="240"/>
      <w:jc w:val="both"/>
    </w:pPr>
  </w:style>
  <w:style w:type="paragraph" w:customStyle="1" w:styleId="TextBox">
    <w:name w:val="Text Box"/>
    <w:basedOn w:val="Normal"/>
    <w:link w:val="TextBoxChar"/>
    <w:qFormat/>
    <w:rsid w:val="00F84C94"/>
    <w:rPr>
      <w:rFonts w:ascii="Calibri" w:eastAsia="SimSun" w:hAnsi="Calibri"/>
      <w:lang w:val="x-none" w:eastAsia="x-none"/>
    </w:rPr>
  </w:style>
  <w:style w:type="character" w:customStyle="1" w:styleId="TextBoxChar">
    <w:name w:val="Text Box Char"/>
    <w:link w:val="TextBox"/>
    <w:rsid w:val="00F84C94"/>
    <w:rPr>
      <w:rFonts w:ascii="Calibri" w:eastAsia="SimSun" w:hAnsi="Calibri"/>
      <w:sz w:val="24"/>
      <w:szCs w:val="24"/>
      <w:lang w:val="x-none" w:eastAsia="x-none"/>
    </w:rPr>
  </w:style>
  <w:style w:type="paragraph" w:styleId="BalloonText">
    <w:name w:val="Balloon Text"/>
    <w:basedOn w:val="Normal"/>
    <w:link w:val="BalloonTextChar"/>
    <w:uiPriority w:val="99"/>
    <w:semiHidden/>
    <w:unhideWhenUsed/>
    <w:rsid w:val="00046C49"/>
    <w:rPr>
      <w:rFonts w:ascii="Tahoma" w:hAnsi="Tahoma" w:cs="Tahoma"/>
      <w:sz w:val="16"/>
      <w:szCs w:val="16"/>
    </w:rPr>
  </w:style>
  <w:style w:type="character" w:customStyle="1" w:styleId="BalloonTextChar">
    <w:name w:val="Balloon Text Char"/>
    <w:basedOn w:val="DefaultParagraphFont"/>
    <w:link w:val="BalloonText"/>
    <w:uiPriority w:val="99"/>
    <w:semiHidden/>
    <w:rsid w:val="00046C49"/>
    <w:rPr>
      <w:rFonts w:ascii="Tahoma" w:hAnsi="Tahoma" w:cs="Tahoma"/>
      <w:sz w:val="16"/>
      <w:szCs w:val="16"/>
    </w:rPr>
  </w:style>
  <w:style w:type="character" w:styleId="CommentReference">
    <w:name w:val="annotation reference"/>
    <w:basedOn w:val="DefaultParagraphFont"/>
    <w:uiPriority w:val="99"/>
    <w:semiHidden/>
    <w:unhideWhenUsed/>
    <w:rsid w:val="003766D9"/>
    <w:rPr>
      <w:sz w:val="16"/>
      <w:szCs w:val="16"/>
    </w:rPr>
  </w:style>
  <w:style w:type="paragraph" w:styleId="CommentText">
    <w:name w:val="annotation text"/>
    <w:basedOn w:val="Normal"/>
    <w:link w:val="CommentTextChar"/>
    <w:uiPriority w:val="99"/>
    <w:semiHidden/>
    <w:unhideWhenUsed/>
    <w:rsid w:val="003766D9"/>
    <w:rPr>
      <w:sz w:val="20"/>
      <w:szCs w:val="20"/>
    </w:rPr>
  </w:style>
  <w:style w:type="character" w:customStyle="1" w:styleId="CommentTextChar">
    <w:name w:val="Comment Text Char"/>
    <w:basedOn w:val="DefaultParagraphFont"/>
    <w:link w:val="CommentText"/>
    <w:uiPriority w:val="99"/>
    <w:semiHidden/>
    <w:rsid w:val="003766D9"/>
  </w:style>
  <w:style w:type="paragraph" w:styleId="CommentSubject">
    <w:name w:val="annotation subject"/>
    <w:basedOn w:val="CommentText"/>
    <w:next w:val="CommentText"/>
    <w:link w:val="CommentSubjectChar"/>
    <w:uiPriority w:val="99"/>
    <w:semiHidden/>
    <w:unhideWhenUsed/>
    <w:rsid w:val="003766D9"/>
    <w:rPr>
      <w:b/>
      <w:bCs/>
    </w:rPr>
  </w:style>
  <w:style w:type="character" w:customStyle="1" w:styleId="CommentSubjectChar">
    <w:name w:val="Comment Subject Char"/>
    <w:basedOn w:val="CommentTextChar"/>
    <w:link w:val="CommentSubject"/>
    <w:uiPriority w:val="99"/>
    <w:semiHidden/>
    <w:rsid w:val="003766D9"/>
    <w:rPr>
      <w:b/>
      <w:bCs/>
    </w:rPr>
  </w:style>
  <w:style w:type="paragraph" w:styleId="Quote">
    <w:name w:val="Quote"/>
    <w:basedOn w:val="Normal"/>
    <w:next w:val="Normal"/>
    <w:link w:val="QuoteChar"/>
    <w:uiPriority w:val="29"/>
    <w:qFormat/>
    <w:rsid w:val="00FC3244"/>
    <w:pPr>
      <w:spacing w:before="120" w:after="120"/>
      <w:ind w:left="720" w:right="720"/>
    </w:pPr>
    <w:rPr>
      <w:iCs/>
      <w:color w:val="000000" w:themeColor="text1"/>
    </w:rPr>
  </w:style>
  <w:style w:type="character" w:customStyle="1" w:styleId="QuoteChar">
    <w:name w:val="Quote Char"/>
    <w:basedOn w:val="DefaultParagraphFont"/>
    <w:link w:val="Quote"/>
    <w:uiPriority w:val="29"/>
    <w:rsid w:val="00FC3244"/>
    <w:rPr>
      <w:iCs/>
      <w:color w:val="000000" w:themeColor="text1"/>
      <w:sz w:val="24"/>
      <w:szCs w:val="24"/>
    </w:rPr>
  </w:style>
  <w:style w:type="character" w:styleId="FollowedHyperlink">
    <w:name w:val="FollowedHyperlink"/>
    <w:basedOn w:val="DefaultParagraphFont"/>
    <w:uiPriority w:val="99"/>
    <w:semiHidden/>
    <w:unhideWhenUsed/>
    <w:rsid w:val="003368E2"/>
    <w:rPr>
      <w:color w:val="800080" w:themeColor="followedHyperlink"/>
      <w:u w:val="single"/>
    </w:rPr>
  </w:style>
  <w:style w:type="paragraph" w:styleId="NormalWeb">
    <w:name w:val="Normal (Web)"/>
    <w:basedOn w:val="Normal"/>
    <w:uiPriority w:val="99"/>
    <w:semiHidden/>
    <w:unhideWhenUsed/>
    <w:rsid w:val="00BF6AEC"/>
  </w:style>
  <w:style w:type="paragraph" w:styleId="Revision">
    <w:name w:val="Revision"/>
    <w:hidden/>
    <w:uiPriority w:val="99"/>
    <w:semiHidden/>
    <w:rsid w:val="003977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Closing" w:uiPriority="1" w:qFormat="1"/>
    <w:lsdException w:name="Signature" w:uiPriority="1" w:qFormat="1"/>
    <w:lsdException w:name="Default Paragraph Font" w:uiPriority="1"/>
    <w:lsdException w:name="Body Text" w:uiPriority="1" w:qFormat="1"/>
    <w:lsdException w:name="Body Text Indent" w:uiPriority="1" w:qFormat="1"/>
    <w:lsdException w:name="Subtitle" w:semiHidden="0" w:uiPriority="1" w:unhideWhenUsed="0" w:qFormat="1"/>
    <w:lsdException w:name="Body Text First Indent" w:uiPriority="9" w:qFormat="1"/>
    <w:lsdException w:name="Body Text First Indent 2" w:uiPriority="9" w:qFormat="1"/>
    <w:lsdException w:name="Body Text 2" w:uiPriority="9" w:qFormat="1"/>
    <w:lsdException w:name="Body Text Indent 2" w:uiPriority="9" w:qFormat="1"/>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2D26"/>
    <w:rPr>
      <w:sz w:val="24"/>
      <w:szCs w:val="24"/>
    </w:rPr>
  </w:style>
  <w:style w:type="paragraph" w:styleId="Heading1">
    <w:name w:val="heading 1"/>
    <w:basedOn w:val="Normal"/>
    <w:next w:val="BodyTextFirstIndent"/>
    <w:link w:val="Heading1Char"/>
    <w:uiPriority w:val="1"/>
    <w:qFormat/>
    <w:rsid w:val="00036592"/>
    <w:pPr>
      <w:keepNext/>
      <w:spacing w:after="240"/>
      <w:jc w:val="center"/>
      <w:outlineLvl w:val="0"/>
    </w:pPr>
    <w:rPr>
      <w:rFonts w:cs="Arial"/>
      <w:b/>
      <w:bCs/>
      <w:sz w:val="26"/>
      <w:szCs w:val="32"/>
    </w:rPr>
  </w:style>
  <w:style w:type="paragraph" w:styleId="Heading2">
    <w:name w:val="heading 2"/>
    <w:basedOn w:val="Normal"/>
    <w:next w:val="BodyTextFirstIndent"/>
    <w:link w:val="Heading2Char"/>
    <w:uiPriority w:val="1"/>
    <w:qFormat/>
    <w:rsid w:val="00486973"/>
    <w:pPr>
      <w:keepNext/>
      <w:numPr>
        <w:numId w:val="31"/>
      </w:numPr>
      <w:spacing w:after="240"/>
      <w:outlineLvl w:val="1"/>
    </w:pPr>
    <w:rPr>
      <w:rFonts w:cs="Arial"/>
      <w:b/>
      <w:bCs/>
      <w:iCs/>
      <w:szCs w:val="28"/>
    </w:rPr>
  </w:style>
  <w:style w:type="paragraph" w:styleId="Heading3">
    <w:name w:val="heading 3"/>
    <w:basedOn w:val="Normal"/>
    <w:next w:val="BodyTextFirstIndent"/>
    <w:link w:val="Heading3Char"/>
    <w:uiPriority w:val="9"/>
    <w:qFormat/>
    <w:rsid w:val="00BA07C0"/>
    <w:pPr>
      <w:spacing w:after="240"/>
      <w:ind w:left="720"/>
      <w:outlineLvl w:val="2"/>
    </w:pPr>
    <w:rPr>
      <w:rFonts w:cs="Arial"/>
      <w:b/>
      <w:bCs/>
      <w:szCs w:val="26"/>
    </w:rPr>
  </w:style>
  <w:style w:type="paragraph" w:styleId="Heading4">
    <w:name w:val="heading 4"/>
    <w:basedOn w:val="Normal"/>
    <w:next w:val="BodyTextFirstIndent"/>
    <w:link w:val="Heading4Char"/>
    <w:uiPriority w:val="1"/>
    <w:qFormat/>
    <w:rsid w:val="00CB1314"/>
    <w:pPr>
      <w:spacing w:after="120"/>
      <w:ind w:left="720"/>
      <w:outlineLvl w:val="3"/>
    </w:pPr>
    <w:rPr>
      <w:b/>
      <w:bCs/>
      <w:i/>
      <w:szCs w:val="28"/>
    </w:rPr>
  </w:style>
  <w:style w:type="paragraph" w:styleId="Heading5">
    <w:name w:val="heading 5"/>
    <w:basedOn w:val="Normal"/>
    <w:next w:val="BodyTextFirstIndent"/>
    <w:link w:val="Heading5Char"/>
    <w:uiPriority w:val="1"/>
    <w:qFormat/>
    <w:rsid w:val="001A15EF"/>
    <w:pPr>
      <w:spacing w:after="240"/>
      <w:outlineLvl w:val="4"/>
    </w:pPr>
    <w:rPr>
      <w:bCs/>
      <w:iCs/>
      <w:szCs w:val="26"/>
    </w:rPr>
  </w:style>
  <w:style w:type="paragraph" w:styleId="Heading6">
    <w:name w:val="heading 6"/>
    <w:basedOn w:val="Normal"/>
    <w:next w:val="BodyTextFirstIndent"/>
    <w:link w:val="Heading6Char"/>
    <w:uiPriority w:val="1"/>
    <w:qFormat/>
    <w:rsid w:val="001A15EF"/>
    <w:pPr>
      <w:spacing w:after="240"/>
      <w:outlineLvl w:val="5"/>
    </w:pPr>
    <w:rPr>
      <w:bCs/>
      <w:szCs w:val="22"/>
    </w:rPr>
  </w:style>
  <w:style w:type="paragraph" w:styleId="Heading7">
    <w:name w:val="heading 7"/>
    <w:basedOn w:val="Normal"/>
    <w:next w:val="BodyTextFirstIndent"/>
    <w:link w:val="Heading7Char"/>
    <w:uiPriority w:val="1"/>
    <w:qFormat/>
    <w:rsid w:val="001A15EF"/>
    <w:pPr>
      <w:spacing w:after="240"/>
      <w:outlineLvl w:val="6"/>
    </w:pPr>
  </w:style>
  <w:style w:type="paragraph" w:styleId="Heading8">
    <w:name w:val="heading 8"/>
    <w:basedOn w:val="Normal"/>
    <w:next w:val="BodyTextFirstIndent"/>
    <w:link w:val="Heading8Char"/>
    <w:uiPriority w:val="1"/>
    <w:qFormat/>
    <w:rsid w:val="001A15EF"/>
    <w:pPr>
      <w:spacing w:after="240"/>
      <w:outlineLvl w:val="7"/>
    </w:pPr>
    <w:rPr>
      <w:iCs/>
    </w:rPr>
  </w:style>
  <w:style w:type="paragraph" w:styleId="Heading9">
    <w:name w:val="heading 9"/>
    <w:basedOn w:val="Normal"/>
    <w:next w:val="Normal"/>
    <w:link w:val="Heading9Char"/>
    <w:uiPriority w:val="1"/>
    <w:qFormat/>
    <w:rsid w:val="001A15EF"/>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rsid w:val="001A15EF"/>
    <w:pPr>
      <w:spacing w:after="240" w:line="480" w:lineRule="auto"/>
      <w:ind w:left="1440" w:right="1440"/>
      <w:jc w:val="both"/>
    </w:pPr>
  </w:style>
  <w:style w:type="paragraph" w:customStyle="1" w:styleId="BlockText2LeftJustified">
    <w:name w:val="Block Text 2 Left Justified"/>
    <w:basedOn w:val="Normal"/>
    <w:uiPriority w:val="9"/>
    <w:qFormat/>
    <w:rsid w:val="001A15EF"/>
    <w:pPr>
      <w:spacing w:after="240"/>
      <w:ind w:left="1440" w:right="1440"/>
    </w:pPr>
  </w:style>
  <w:style w:type="paragraph" w:customStyle="1" w:styleId="BlockTextLeftJustified">
    <w:name w:val="Block Text Left Justified"/>
    <w:basedOn w:val="Normal"/>
    <w:uiPriority w:val="9"/>
    <w:qFormat/>
    <w:rsid w:val="001A15EF"/>
    <w:pPr>
      <w:spacing w:after="240"/>
      <w:ind w:left="720" w:right="720"/>
    </w:pPr>
  </w:style>
  <w:style w:type="paragraph" w:customStyle="1" w:styleId="BodyText2LeftJustified">
    <w:name w:val="Body Text 2 Left Justified"/>
    <w:basedOn w:val="Normal"/>
    <w:uiPriority w:val="9"/>
    <w:qFormat/>
    <w:rsid w:val="001A15EF"/>
    <w:pPr>
      <w:spacing w:line="480" w:lineRule="auto"/>
    </w:pPr>
  </w:style>
  <w:style w:type="paragraph" w:customStyle="1" w:styleId="BodyTextContinued">
    <w:name w:val="Body Text Continued"/>
    <w:basedOn w:val="Normal"/>
    <w:next w:val="BodyTextFirstIndent"/>
    <w:uiPriority w:val="9"/>
    <w:qFormat/>
    <w:rsid w:val="001A15EF"/>
    <w:pPr>
      <w:jc w:val="both"/>
    </w:pPr>
  </w:style>
  <w:style w:type="paragraph" w:styleId="BodyText">
    <w:name w:val="Body Text"/>
    <w:basedOn w:val="Normal"/>
    <w:link w:val="BodyTextChar"/>
    <w:uiPriority w:val="1"/>
    <w:qFormat/>
    <w:rsid w:val="001A15EF"/>
    <w:pPr>
      <w:spacing w:after="240"/>
      <w:jc w:val="both"/>
    </w:pPr>
  </w:style>
  <w:style w:type="character" w:customStyle="1" w:styleId="BodyTextChar">
    <w:name w:val="Body Text Char"/>
    <w:basedOn w:val="DefaultParagraphFont"/>
    <w:link w:val="BodyText"/>
    <w:uiPriority w:val="1"/>
    <w:rsid w:val="001A15EF"/>
    <w:rPr>
      <w:sz w:val="24"/>
      <w:szCs w:val="24"/>
    </w:rPr>
  </w:style>
  <w:style w:type="paragraph" w:styleId="BodyTextFirstIndent">
    <w:name w:val="Body Text First Indent"/>
    <w:basedOn w:val="Normal"/>
    <w:link w:val="BodyTextFirstIndentChar"/>
    <w:uiPriority w:val="9"/>
    <w:qFormat/>
    <w:rsid w:val="001A15EF"/>
    <w:pPr>
      <w:spacing w:after="240"/>
      <w:ind w:firstLine="720"/>
      <w:jc w:val="both"/>
    </w:pPr>
  </w:style>
  <w:style w:type="character" w:customStyle="1" w:styleId="BodyTextFirstIndentChar">
    <w:name w:val="Body Text First Indent Char"/>
    <w:basedOn w:val="BodyTextChar"/>
    <w:link w:val="BodyTextFirstIndent"/>
    <w:uiPriority w:val="9"/>
    <w:rsid w:val="001A15EF"/>
    <w:rPr>
      <w:sz w:val="24"/>
      <w:szCs w:val="24"/>
    </w:rPr>
  </w:style>
  <w:style w:type="paragraph" w:customStyle="1" w:styleId="BodyTextFirstIndent2LeftJustified">
    <w:name w:val="Body Text First Indent 2 Left Justified"/>
    <w:basedOn w:val="Normal"/>
    <w:uiPriority w:val="9"/>
    <w:qFormat/>
    <w:rsid w:val="001A15EF"/>
    <w:pPr>
      <w:spacing w:line="480" w:lineRule="auto"/>
      <w:ind w:firstLine="720"/>
    </w:pPr>
  </w:style>
  <w:style w:type="paragraph" w:customStyle="1" w:styleId="BodyTextFirstIndentLeftJustified">
    <w:name w:val="Body Text First Indent Left Justified"/>
    <w:basedOn w:val="Normal"/>
    <w:uiPriority w:val="9"/>
    <w:qFormat/>
    <w:rsid w:val="001A15EF"/>
    <w:pPr>
      <w:spacing w:after="240"/>
      <w:ind w:firstLine="720"/>
    </w:pPr>
  </w:style>
  <w:style w:type="paragraph" w:customStyle="1" w:styleId="BodyTextIndent2LeftJustified">
    <w:name w:val="Body Text Indent 2 Left Justified"/>
    <w:basedOn w:val="Normal"/>
    <w:uiPriority w:val="9"/>
    <w:qFormat/>
    <w:rsid w:val="001A15EF"/>
    <w:pPr>
      <w:spacing w:line="480" w:lineRule="auto"/>
      <w:ind w:left="720"/>
    </w:pPr>
  </w:style>
  <w:style w:type="paragraph" w:customStyle="1" w:styleId="BodyTextIndentLeftJustified">
    <w:name w:val="Body Text Indent Left Justified"/>
    <w:basedOn w:val="Normal"/>
    <w:uiPriority w:val="9"/>
    <w:qFormat/>
    <w:rsid w:val="001A15EF"/>
    <w:pPr>
      <w:spacing w:after="240"/>
      <w:ind w:left="720"/>
    </w:pPr>
  </w:style>
  <w:style w:type="paragraph" w:customStyle="1" w:styleId="BodyTextLeftJustified">
    <w:name w:val="Body Text Left Justified"/>
    <w:basedOn w:val="Normal"/>
    <w:uiPriority w:val="9"/>
    <w:qFormat/>
    <w:rsid w:val="001A15EF"/>
    <w:pPr>
      <w:spacing w:after="240"/>
    </w:pPr>
  </w:style>
  <w:style w:type="paragraph" w:customStyle="1" w:styleId="BodyTextNS">
    <w:name w:val="Body Text NS"/>
    <w:basedOn w:val="Normal"/>
    <w:uiPriority w:val="9"/>
    <w:qFormat/>
    <w:rsid w:val="001A15EF"/>
    <w:pPr>
      <w:jc w:val="both"/>
    </w:pPr>
  </w:style>
  <w:style w:type="paragraph" w:customStyle="1" w:styleId="HangingIndent">
    <w:name w:val="Hanging Indent"/>
    <w:basedOn w:val="Normal"/>
    <w:uiPriority w:val="9"/>
    <w:qFormat/>
    <w:rsid w:val="001A15EF"/>
    <w:pPr>
      <w:spacing w:after="240"/>
      <w:ind w:left="720" w:hanging="720"/>
      <w:jc w:val="both"/>
    </w:pPr>
  </w:style>
  <w:style w:type="paragraph" w:customStyle="1" w:styleId="HangingIndent2">
    <w:name w:val="Hanging Indent 2"/>
    <w:basedOn w:val="Normal"/>
    <w:uiPriority w:val="9"/>
    <w:qFormat/>
    <w:rsid w:val="001A15EF"/>
    <w:pPr>
      <w:spacing w:line="480" w:lineRule="auto"/>
      <w:ind w:left="720" w:hanging="720"/>
      <w:jc w:val="both"/>
    </w:pPr>
  </w:style>
  <w:style w:type="paragraph" w:customStyle="1" w:styleId="HangingIndent2LeftJustified">
    <w:name w:val="Hanging Indent 2 Left Justified"/>
    <w:basedOn w:val="Normal"/>
    <w:uiPriority w:val="9"/>
    <w:qFormat/>
    <w:rsid w:val="001A15EF"/>
    <w:pPr>
      <w:spacing w:line="480" w:lineRule="auto"/>
      <w:ind w:left="720" w:hanging="720"/>
    </w:pPr>
  </w:style>
  <w:style w:type="paragraph" w:customStyle="1" w:styleId="HangingIndentLeftJustified">
    <w:name w:val="Hanging Indent Left Justified"/>
    <w:basedOn w:val="Normal"/>
    <w:uiPriority w:val="9"/>
    <w:qFormat/>
    <w:rsid w:val="001A15EF"/>
    <w:pPr>
      <w:spacing w:after="240"/>
      <w:ind w:left="720" w:hanging="720"/>
    </w:pPr>
  </w:style>
  <w:style w:type="paragraph" w:customStyle="1" w:styleId="TableBody">
    <w:name w:val="TableBody"/>
    <w:basedOn w:val="Normal"/>
    <w:uiPriority w:val="1"/>
    <w:qFormat/>
    <w:rsid w:val="001A15EF"/>
  </w:style>
  <w:style w:type="character" w:customStyle="1" w:styleId="Heading1Char">
    <w:name w:val="Heading 1 Char"/>
    <w:basedOn w:val="DefaultParagraphFont"/>
    <w:link w:val="Heading1"/>
    <w:uiPriority w:val="1"/>
    <w:rsid w:val="00036592"/>
    <w:rPr>
      <w:rFonts w:cs="Arial"/>
      <w:b/>
      <w:bCs/>
      <w:sz w:val="26"/>
      <w:szCs w:val="32"/>
    </w:rPr>
  </w:style>
  <w:style w:type="character" w:customStyle="1" w:styleId="Heading2Char">
    <w:name w:val="Heading 2 Char"/>
    <w:basedOn w:val="DefaultParagraphFont"/>
    <w:link w:val="Heading2"/>
    <w:uiPriority w:val="1"/>
    <w:rsid w:val="00486973"/>
    <w:rPr>
      <w:rFonts w:cs="Arial"/>
      <w:b/>
      <w:bCs/>
      <w:iCs/>
      <w:sz w:val="24"/>
      <w:szCs w:val="28"/>
    </w:rPr>
  </w:style>
  <w:style w:type="character" w:customStyle="1" w:styleId="Heading3Char">
    <w:name w:val="Heading 3 Char"/>
    <w:basedOn w:val="DefaultParagraphFont"/>
    <w:link w:val="Heading3"/>
    <w:uiPriority w:val="9"/>
    <w:rsid w:val="00BA07C0"/>
    <w:rPr>
      <w:rFonts w:cs="Arial"/>
      <w:b/>
      <w:bCs/>
      <w:sz w:val="24"/>
      <w:szCs w:val="26"/>
    </w:rPr>
  </w:style>
  <w:style w:type="character" w:customStyle="1" w:styleId="Heading4Char">
    <w:name w:val="Heading 4 Char"/>
    <w:basedOn w:val="DefaultParagraphFont"/>
    <w:link w:val="Heading4"/>
    <w:uiPriority w:val="1"/>
    <w:rsid w:val="00CB1314"/>
    <w:rPr>
      <w:b/>
      <w:bCs/>
      <w:i/>
      <w:sz w:val="24"/>
      <w:szCs w:val="28"/>
    </w:rPr>
  </w:style>
  <w:style w:type="character" w:customStyle="1" w:styleId="Heading5Char">
    <w:name w:val="Heading 5 Char"/>
    <w:basedOn w:val="DefaultParagraphFont"/>
    <w:link w:val="Heading5"/>
    <w:uiPriority w:val="1"/>
    <w:rsid w:val="001A15EF"/>
    <w:rPr>
      <w:bCs/>
      <w:iCs/>
      <w:sz w:val="24"/>
      <w:szCs w:val="26"/>
    </w:rPr>
  </w:style>
  <w:style w:type="character" w:customStyle="1" w:styleId="Heading6Char">
    <w:name w:val="Heading 6 Char"/>
    <w:basedOn w:val="DefaultParagraphFont"/>
    <w:link w:val="Heading6"/>
    <w:uiPriority w:val="1"/>
    <w:rsid w:val="001A15EF"/>
    <w:rPr>
      <w:bCs/>
      <w:sz w:val="24"/>
      <w:szCs w:val="22"/>
    </w:rPr>
  </w:style>
  <w:style w:type="character" w:customStyle="1" w:styleId="Heading7Char">
    <w:name w:val="Heading 7 Char"/>
    <w:basedOn w:val="DefaultParagraphFont"/>
    <w:link w:val="Heading7"/>
    <w:uiPriority w:val="1"/>
    <w:rsid w:val="001A15EF"/>
    <w:rPr>
      <w:sz w:val="24"/>
      <w:szCs w:val="24"/>
    </w:rPr>
  </w:style>
  <w:style w:type="character" w:customStyle="1" w:styleId="Heading8Char">
    <w:name w:val="Heading 8 Char"/>
    <w:basedOn w:val="DefaultParagraphFont"/>
    <w:link w:val="Heading8"/>
    <w:uiPriority w:val="1"/>
    <w:rsid w:val="001A15EF"/>
    <w:rPr>
      <w:iCs/>
      <w:sz w:val="24"/>
      <w:szCs w:val="24"/>
    </w:rPr>
  </w:style>
  <w:style w:type="character" w:customStyle="1" w:styleId="Heading9Char">
    <w:name w:val="Heading 9 Char"/>
    <w:basedOn w:val="DefaultParagraphFont"/>
    <w:link w:val="Heading9"/>
    <w:uiPriority w:val="1"/>
    <w:rsid w:val="001A15EF"/>
    <w:rPr>
      <w:rFonts w:cs="Arial"/>
      <w:sz w:val="24"/>
      <w:szCs w:val="22"/>
    </w:rPr>
  </w:style>
  <w:style w:type="paragraph" w:styleId="Title">
    <w:name w:val="Title"/>
    <w:basedOn w:val="Normal"/>
    <w:next w:val="BodyTextFirstIndent"/>
    <w:link w:val="TitleChar"/>
    <w:uiPriority w:val="1"/>
    <w:qFormat/>
    <w:rsid w:val="001A15EF"/>
    <w:pPr>
      <w:keepNext/>
      <w:keepLines/>
      <w:spacing w:after="240"/>
      <w:jc w:val="center"/>
      <w:outlineLvl w:val="0"/>
    </w:pPr>
    <w:rPr>
      <w:rFonts w:cs="Arial"/>
      <w:b/>
      <w:bCs/>
      <w:caps/>
      <w:kern w:val="28"/>
      <w:szCs w:val="32"/>
    </w:rPr>
  </w:style>
  <w:style w:type="character" w:customStyle="1" w:styleId="TitleChar">
    <w:name w:val="Title Char"/>
    <w:basedOn w:val="DefaultParagraphFont"/>
    <w:link w:val="Title"/>
    <w:uiPriority w:val="1"/>
    <w:rsid w:val="001A15EF"/>
    <w:rPr>
      <w:rFonts w:cs="Arial"/>
      <w:b/>
      <w:bCs/>
      <w:caps/>
      <w:kern w:val="28"/>
      <w:sz w:val="24"/>
      <w:szCs w:val="32"/>
    </w:rPr>
  </w:style>
  <w:style w:type="paragraph" w:styleId="Closing">
    <w:name w:val="Closing"/>
    <w:basedOn w:val="Normal"/>
    <w:link w:val="ClosingChar"/>
    <w:uiPriority w:val="1"/>
    <w:qFormat/>
    <w:rsid w:val="001A15EF"/>
    <w:pPr>
      <w:keepNext/>
      <w:keepLines/>
      <w:spacing w:after="720"/>
      <w:ind w:left="5040"/>
    </w:pPr>
  </w:style>
  <w:style w:type="character" w:customStyle="1" w:styleId="ClosingChar">
    <w:name w:val="Closing Char"/>
    <w:basedOn w:val="DefaultParagraphFont"/>
    <w:link w:val="Closing"/>
    <w:uiPriority w:val="1"/>
    <w:rsid w:val="001A15EF"/>
    <w:rPr>
      <w:sz w:val="24"/>
      <w:szCs w:val="24"/>
    </w:rPr>
  </w:style>
  <w:style w:type="paragraph" w:styleId="Signature">
    <w:name w:val="Signature"/>
    <w:basedOn w:val="Normal"/>
    <w:link w:val="SignatureChar"/>
    <w:uiPriority w:val="1"/>
    <w:qFormat/>
    <w:rsid w:val="001A15EF"/>
    <w:pPr>
      <w:keepLines/>
      <w:spacing w:after="240"/>
      <w:ind w:left="5040"/>
    </w:pPr>
  </w:style>
  <w:style w:type="character" w:customStyle="1" w:styleId="SignatureChar">
    <w:name w:val="Signature Char"/>
    <w:basedOn w:val="DefaultParagraphFont"/>
    <w:link w:val="Signature"/>
    <w:uiPriority w:val="1"/>
    <w:rsid w:val="001A15EF"/>
    <w:rPr>
      <w:sz w:val="24"/>
      <w:szCs w:val="24"/>
    </w:rPr>
  </w:style>
  <w:style w:type="paragraph" w:styleId="BodyTextIndent">
    <w:name w:val="Body Text Indent"/>
    <w:basedOn w:val="Normal"/>
    <w:link w:val="BodyTextIndentChar"/>
    <w:uiPriority w:val="1"/>
    <w:qFormat/>
    <w:rsid w:val="001A15EF"/>
    <w:pPr>
      <w:spacing w:after="240"/>
      <w:ind w:left="720"/>
      <w:jc w:val="both"/>
    </w:pPr>
  </w:style>
  <w:style w:type="character" w:customStyle="1" w:styleId="BodyTextIndentChar">
    <w:name w:val="Body Text Indent Char"/>
    <w:basedOn w:val="DefaultParagraphFont"/>
    <w:link w:val="BodyTextIndent"/>
    <w:uiPriority w:val="1"/>
    <w:rsid w:val="001A15EF"/>
    <w:rPr>
      <w:sz w:val="24"/>
      <w:szCs w:val="24"/>
    </w:rPr>
  </w:style>
  <w:style w:type="paragraph" w:styleId="Subtitle">
    <w:name w:val="Subtitle"/>
    <w:basedOn w:val="Normal"/>
    <w:next w:val="BodyTextFirstIndent"/>
    <w:link w:val="SubtitleChar"/>
    <w:uiPriority w:val="1"/>
    <w:qFormat/>
    <w:rsid w:val="001A15EF"/>
    <w:pPr>
      <w:keepNext/>
      <w:keepLines/>
      <w:spacing w:after="240"/>
      <w:jc w:val="center"/>
      <w:outlineLvl w:val="1"/>
    </w:pPr>
    <w:rPr>
      <w:rFonts w:cs="Arial"/>
      <w:b/>
      <w:caps/>
    </w:rPr>
  </w:style>
  <w:style w:type="character" w:customStyle="1" w:styleId="SubtitleChar">
    <w:name w:val="Subtitle Char"/>
    <w:basedOn w:val="DefaultParagraphFont"/>
    <w:link w:val="Subtitle"/>
    <w:uiPriority w:val="1"/>
    <w:rsid w:val="001A15EF"/>
    <w:rPr>
      <w:rFonts w:cs="Arial"/>
      <w:b/>
      <w:caps/>
      <w:sz w:val="24"/>
      <w:szCs w:val="24"/>
    </w:rPr>
  </w:style>
  <w:style w:type="paragraph" w:styleId="BodyTextFirstIndent2">
    <w:name w:val="Body Text First Indent 2"/>
    <w:basedOn w:val="Normal"/>
    <w:link w:val="BodyTextFirstIndent2Char"/>
    <w:uiPriority w:val="9"/>
    <w:qFormat/>
    <w:rsid w:val="001A15EF"/>
    <w:pPr>
      <w:spacing w:line="480" w:lineRule="auto"/>
      <w:ind w:firstLine="720"/>
      <w:jc w:val="both"/>
    </w:pPr>
  </w:style>
  <w:style w:type="character" w:customStyle="1" w:styleId="BodyTextFirstIndent2Char">
    <w:name w:val="Body Text First Indent 2 Char"/>
    <w:basedOn w:val="BodyTextIndentChar"/>
    <w:link w:val="BodyTextFirstIndent2"/>
    <w:uiPriority w:val="9"/>
    <w:rsid w:val="001A15EF"/>
    <w:rPr>
      <w:sz w:val="24"/>
      <w:szCs w:val="24"/>
    </w:rPr>
  </w:style>
  <w:style w:type="paragraph" w:styleId="BodyText2">
    <w:name w:val="Body Text 2"/>
    <w:basedOn w:val="Normal"/>
    <w:link w:val="BodyText2Char"/>
    <w:uiPriority w:val="9"/>
    <w:qFormat/>
    <w:rsid w:val="001A15EF"/>
    <w:pPr>
      <w:spacing w:line="480" w:lineRule="auto"/>
      <w:jc w:val="both"/>
    </w:pPr>
  </w:style>
  <w:style w:type="character" w:customStyle="1" w:styleId="BodyText2Char">
    <w:name w:val="Body Text 2 Char"/>
    <w:basedOn w:val="DefaultParagraphFont"/>
    <w:link w:val="BodyText2"/>
    <w:uiPriority w:val="9"/>
    <w:rsid w:val="001A15EF"/>
    <w:rPr>
      <w:sz w:val="24"/>
      <w:szCs w:val="24"/>
    </w:rPr>
  </w:style>
  <w:style w:type="paragraph" w:styleId="BodyTextIndent2">
    <w:name w:val="Body Text Indent 2"/>
    <w:basedOn w:val="Normal"/>
    <w:link w:val="BodyTextIndent2Char"/>
    <w:uiPriority w:val="9"/>
    <w:qFormat/>
    <w:rsid w:val="001A15EF"/>
    <w:pPr>
      <w:spacing w:line="480" w:lineRule="auto"/>
      <w:ind w:left="720"/>
      <w:jc w:val="both"/>
    </w:pPr>
  </w:style>
  <w:style w:type="character" w:customStyle="1" w:styleId="BodyTextIndent2Char">
    <w:name w:val="Body Text Indent 2 Char"/>
    <w:basedOn w:val="DefaultParagraphFont"/>
    <w:link w:val="BodyTextIndent2"/>
    <w:uiPriority w:val="9"/>
    <w:rsid w:val="001A15EF"/>
    <w:rPr>
      <w:sz w:val="24"/>
      <w:szCs w:val="24"/>
    </w:rPr>
  </w:style>
  <w:style w:type="paragraph" w:styleId="BlockText">
    <w:name w:val="Block Text"/>
    <w:basedOn w:val="Normal"/>
    <w:uiPriority w:val="1"/>
    <w:qFormat/>
    <w:rsid w:val="001A15EF"/>
    <w:pPr>
      <w:spacing w:after="240"/>
      <w:ind w:left="720" w:right="720"/>
      <w:jc w:val="both"/>
    </w:pPr>
  </w:style>
  <w:style w:type="paragraph" w:styleId="ListParagraph">
    <w:name w:val="List Paragraph"/>
    <w:basedOn w:val="Normal"/>
    <w:uiPriority w:val="34"/>
    <w:qFormat/>
    <w:rsid w:val="008F429B"/>
    <w:pPr>
      <w:ind w:left="720"/>
      <w:contextualSpacing/>
    </w:pPr>
  </w:style>
  <w:style w:type="paragraph" w:styleId="Header">
    <w:name w:val="header"/>
    <w:basedOn w:val="Normal"/>
    <w:link w:val="HeaderChar"/>
    <w:uiPriority w:val="99"/>
    <w:unhideWhenUsed/>
    <w:rsid w:val="00CA279D"/>
    <w:pPr>
      <w:tabs>
        <w:tab w:val="center" w:pos="4680"/>
        <w:tab w:val="right" w:pos="9360"/>
      </w:tabs>
    </w:pPr>
  </w:style>
  <w:style w:type="character" w:customStyle="1" w:styleId="HeaderChar">
    <w:name w:val="Header Char"/>
    <w:basedOn w:val="DefaultParagraphFont"/>
    <w:link w:val="Header"/>
    <w:uiPriority w:val="99"/>
    <w:rsid w:val="00CA279D"/>
    <w:rPr>
      <w:sz w:val="24"/>
      <w:szCs w:val="24"/>
    </w:rPr>
  </w:style>
  <w:style w:type="paragraph" w:styleId="Footer">
    <w:name w:val="footer"/>
    <w:basedOn w:val="Normal"/>
    <w:link w:val="FooterChar"/>
    <w:uiPriority w:val="99"/>
    <w:unhideWhenUsed/>
    <w:rsid w:val="00CA279D"/>
    <w:pPr>
      <w:tabs>
        <w:tab w:val="center" w:pos="4680"/>
        <w:tab w:val="right" w:pos="9360"/>
      </w:tabs>
    </w:pPr>
  </w:style>
  <w:style w:type="character" w:customStyle="1" w:styleId="FooterChar">
    <w:name w:val="Footer Char"/>
    <w:basedOn w:val="DefaultParagraphFont"/>
    <w:link w:val="Footer"/>
    <w:uiPriority w:val="99"/>
    <w:rsid w:val="00CA279D"/>
    <w:rPr>
      <w:sz w:val="24"/>
      <w:szCs w:val="24"/>
    </w:rPr>
  </w:style>
  <w:style w:type="paragraph" w:styleId="FootnoteText">
    <w:name w:val="footnote text"/>
    <w:basedOn w:val="Normal"/>
    <w:link w:val="FootnoteTextChar"/>
    <w:uiPriority w:val="99"/>
    <w:rsid w:val="002F4A22"/>
    <w:rPr>
      <w:rFonts w:ascii="Garamond" w:hAnsi="Garamond"/>
      <w:sz w:val="20"/>
      <w:szCs w:val="20"/>
    </w:rPr>
  </w:style>
  <w:style w:type="character" w:customStyle="1" w:styleId="FootnoteTextChar">
    <w:name w:val="Footnote Text Char"/>
    <w:basedOn w:val="DefaultParagraphFont"/>
    <w:link w:val="FootnoteText"/>
    <w:uiPriority w:val="99"/>
    <w:rsid w:val="002F4A22"/>
    <w:rPr>
      <w:rFonts w:ascii="Garamond" w:hAnsi="Garamond"/>
    </w:rPr>
  </w:style>
  <w:style w:type="character" w:styleId="FootnoteReference">
    <w:name w:val="footnote reference"/>
    <w:basedOn w:val="DefaultParagraphFont"/>
    <w:uiPriority w:val="99"/>
    <w:rsid w:val="002F4A22"/>
    <w:rPr>
      <w:rFonts w:cs="Times New Roman"/>
      <w:vertAlign w:val="superscript"/>
    </w:rPr>
  </w:style>
  <w:style w:type="character" w:styleId="Hyperlink">
    <w:name w:val="Hyperlink"/>
    <w:basedOn w:val="DefaultParagraphFont"/>
    <w:uiPriority w:val="99"/>
    <w:rsid w:val="002F4A22"/>
    <w:rPr>
      <w:rFonts w:cs="Times New Roman"/>
      <w:color w:val="0000FF"/>
      <w:u w:val="single"/>
    </w:rPr>
  </w:style>
  <w:style w:type="paragraph" w:customStyle="1" w:styleId="TableHeading">
    <w:name w:val="Table Heading"/>
    <w:basedOn w:val="Normal"/>
    <w:rsid w:val="00F5394A"/>
    <w:pPr>
      <w:spacing w:after="240"/>
      <w:ind w:left="720"/>
      <w:jc w:val="both"/>
    </w:pPr>
    <w:rPr>
      <w:b/>
      <w:caps/>
    </w:rPr>
  </w:style>
  <w:style w:type="paragraph" w:customStyle="1" w:styleId="TableData">
    <w:name w:val="Table Data"/>
    <w:basedOn w:val="Normal"/>
    <w:rsid w:val="00F5394A"/>
    <w:pPr>
      <w:spacing w:after="240"/>
      <w:jc w:val="both"/>
    </w:pPr>
  </w:style>
  <w:style w:type="paragraph" w:customStyle="1" w:styleId="TextBox">
    <w:name w:val="Text Box"/>
    <w:basedOn w:val="Normal"/>
    <w:link w:val="TextBoxChar"/>
    <w:qFormat/>
    <w:rsid w:val="00F84C94"/>
    <w:rPr>
      <w:rFonts w:ascii="Calibri" w:eastAsia="SimSun" w:hAnsi="Calibri"/>
      <w:lang w:val="x-none" w:eastAsia="x-none"/>
    </w:rPr>
  </w:style>
  <w:style w:type="character" w:customStyle="1" w:styleId="TextBoxChar">
    <w:name w:val="Text Box Char"/>
    <w:link w:val="TextBox"/>
    <w:rsid w:val="00F84C94"/>
    <w:rPr>
      <w:rFonts w:ascii="Calibri" w:eastAsia="SimSun" w:hAnsi="Calibri"/>
      <w:sz w:val="24"/>
      <w:szCs w:val="24"/>
      <w:lang w:val="x-none" w:eastAsia="x-none"/>
    </w:rPr>
  </w:style>
  <w:style w:type="paragraph" w:styleId="BalloonText">
    <w:name w:val="Balloon Text"/>
    <w:basedOn w:val="Normal"/>
    <w:link w:val="BalloonTextChar"/>
    <w:uiPriority w:val="99"/>
    <w:semiHidden/>
    <w:unhideWhenUsed/>
    <w:rsid w:val="00046C49"/>
    <w:rPr>
      <w:rFonts w:ascii="Tahoma" w:hAnsi="Tahoma" w:cs="Tahoma"/>
      <w:sz w:val="16"/>
      <w:szCs w:val="16"/>
    </w:rPr>
  </w:style>
  <w:style w:type="character" w:customStyle="1" w:styleId="BalloonTextChar">
    <w:name w:val="Balloon Text Char"/>
    <w:basedOn w:val="DefaultParagraphFont"/>
    <w:link w:val="BalloonText"/>
    <w:uiPriority w:val="99"/>
    <w:semiHidden/>
    <w:rsid w:val="00046C49"/>
    <w:rPr>
      <w:rFonts w:ascii="Tahoma" w:hAnsi="Tahoma" w:cs="Tahoma"/>
      <w:sz w:val="16"/>
      <w:szCs w:val="16"/>
    </w:rPr>
  </w:style>
  <w:style w:type="character" w:styleId="CommentReference">
    <w:name w:val="annotation reference"/>
    <w:basedOn w:val="DefaultParagraphFont"/>
    <w:uiPriority w:val="99"/>
    <w:semiHidden/>
    <w:unhideWhenUsed/>
    <w:rsid w:val="003766D9"/>
    <w:rPr>
      <w:sz w:val="16"/>
      <w:szCs w:val="16"/>
    </w:rPr>
  </w:style>
  <w:style w:type="paragraph" w:styleId="CommentText">
    <w:name w:val="annotation text"/>
    <w:basedOn w:val="Normal"/>
    <w:link w:val="CommentTextChar"/>
    <w:uiPriority w:val="99"/>
    <w:semiHidden/>
    <w:unhideWhenUsed/>
    <w:rsid w:val="003766D9"/>
    <w:rPr>
      <w:sz w:val="20"/>
      <w:szCs w:val="20"/>
    </w:rPr>
  </w:style>
  <w:style w:type="character" w:customStyle="1" w:styleId="CommentTextChar">
    <w:name w:val="Comment Text Char"/>
    <w:basedOn w:val="DefaultParagraphFont"/>
    <w:link w:val="CommentText"/>
    <w:uiPriority w:val="99"/>
    <w:semiHidden/>
    <w:rsid w:val="003766D9"/>
  </w:style>
  <w:style w:type="paragraph" w:styleId="CommentSubject">
    <w:name w:val="annotation subject"/>
    <w:basedOn w:val="CommentText"/>
    <w:next w:val="CommentText"/>
    <w:link w:val="CommentSubjectChar"/>
    <w:uiPriority w:val="99"/>
    <w:semiHidden/>
    <w:unhideWhenUsed/>
    <w:rsid w:val="003766D9"/>
    <w:rPr>
      <w:b/>
      <w:bCs/>
    </w:rPr>
  </w:style>
  <w:style w:type="character" w:customStyle="1" w:styleId="CommentSubjectChar">
    <w:name w:val="Comment Subject Char"/>
    <w:basedOn w:val="CommentTextChar"/>
    <w:link w:val="CommentSubject"/>
    <w:uiPriority w:val="99"/>
    <w:semiHidden/>
    <w:rsid w:val="003766D9"/>
    <w:rPr>
      <w:b/>
      <w:bCs/>
    </w:rPr>
  </w:style>
  <w:style w:type="paragraph" w:styleId="Quote">
    <w:name w:val="Quote"/>
    <w:basedOn w:val="Normal"/>
    <w:next w:val="Normal"/>
    <w:link w:val="QuoteChar"/>
    <w:uiPriority w:val="29"/>
    <w:qFormat/>
    <w:rsid w:val="00FC3244"/>
    <w:pPr>
      <w:spacing w:before="120" w:after="120"/>
      <w:ind w:left="720" w:right="720"/>
    </w:pPr>
    <w:rPr>
      <w:iCs/>
      <w:color w:val="000000" w:themeColor="text1"/>
    </w:rPr>
  </w:style>
  <w:style w:type="character" w:customStyle="1" w:styleId="QuoteChar">
    <w:name w:val="Quote Char"/>
    <w:basedOn w:val="DefaultParagraphFont"/>
    <w:link w:val="Quote"/>
    <w:uiPriority w:val="29"/>
    <w:rsid w:val="00FC3244"/>
    <w:rPr>
      <w:iCs/>
      <w:color w:val="000000" w:themeColor="text1"/>
      <w:sz w:val="24"/>
      <w:szCs w:val="24"/>
    </w:rPr>
  </w:style>
  <w:style w:type="character" w:styleId="FollowedHyperlink">
    <w:name w:val="FollowedHyperlink"/>
    <w:basedOn w:val="DefaultParagraphFont"/>
    <w:uiPriority w:val="99"/>
    <w:semiHidden/>
    <w:unhideWhenUsed/>
    <w:rsid w:val="003368E2"/>
    <w:rPr>
      <w:color w:val="800080" w:themeColor="followedHyperlink"/>
      <w:u w:val="single"/>
    </w:rPr>
  </w:style>
  <w:style w:type="paragraph" w:styleId="NormalWeb">
    <w:name w:val="Normal (Web)"/>
    <w:basedOn w:val="Normal"/>
    <w:uiPriority w:val="99"/>
    <w:semiHidden/>
    <w:unhideWhenUsed/>
    <w:rsid w:val="00BF6AEC"/>
  </w:style>
  <w:style w:type="paragraph" w:styleId="Revision">
    <w:name w:val="Revision"/>
    <w:hidden/>
    <w:uiPriority w:val="99"/>
    <w:semiHidden/>
    <w:rsid w:val="003977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0000">
      <w:bodyDiv w:val="1"/>
      <w:marLeft w:val="0"/>
      <w:marRight w:val="0"/>
      <w:marTop w:val="0"/>
      <w:marBottom w:val="0"/>
      <w:divBdr>
        <w:top w:val="none" w:sz="0" w:space="0" w:color="auto"/>
        <w:left w:val="none" w:sz="0" w:space="0" w:color="auto"/>
        <w:bottom w:val="none" w:sz="0" w:space="0" w:color="auto"/>
        <w:right w:val="none" w:sz="0" w:space="0" w:color="auto"/>
      </w:divBdr>
    </w:div>
    <w:div w:id="684750683">
      <w:bodyDiv w:val="1"/>
      <w:marLeft w:val="0"/>
      <w:marRight w:val="0"/>
      <w:marTop w:val="30"/>
      <w:marBottom w:val="750"/>
      <w:divBdr>
        <w:top w:val="none" w:sz="0" w:space="0" w:color="auto"/>
        <w:left w:val="none" w:sz="0" w:space="0" w:color="auto"/>
        <w:bottom w:val="none" w:sz="0" w:space="0" w:color="auto"/>
        <w:right w:val="none" w:sz="0" w:space="0" w:color="auto"/>
      </w:divBdr>
      <w:divsChild>
        <w:div w:id="1343819259">
          <w:marLeft w:val="0"/>
          <w:marRight w:val="0"/>
          <w:marTop w:val="0"/>
          <w:marBottom w:val="0"/>
          <w:divBdr>
            <w:top w:val="none" w:sz="0" w:space="0" w:color="auto"/>
            <w:left w:val="none" w:sz="0" w:space="0" w:color="auto"/>
            <w:bottom w:val="none" w:sz="0" w:space="0" w:color="auto"/>
            <w:right w:val="none" w:sz="0" w:space="0" w:color="auto"/>
          </w:divBdr>
        </w:div>
      </w:divsChild>
    </w:div>
    <w:div w:id="930435799">
      <w:bodyDiv w:val="1"/>
      <w:marLeft w:val="0"/>
      <w:marRight w:val="0"/>
      <w:marTop w:val="0"/>
      <w:marBottom w:val="0"/>
      <w:divBdr>
        <w:top w:val="none" w:sz="0" w:space="0" w:color="auto"/>
        <w:left w:val="none" w:sz="0" w:space="0" w:color="auto"/>
        <w:bottom w:val="none" w:sz="0" w:space="0" w:color="auto"/>
        <w:right w:val="none" w:sz="0" w:space="0" w:color="auto"/>
      </w:divBdr>
      <w:divsChild>
        <w:div w:id="415444423">
          <w:marLeft w:val="0"/>
          <w:marRight w:val="0"/>
          <w:marTop w:val="0"/>
          <w:marBottom w:val="0"/>
          <w:divBdr>
            <w:top w:val="none" w:sz="0" w:space="0" w:color="auto"/>
            <w:left w:val="none" w:sz="0" w:space="0" w:color="auto"/>
            <w:bottom w:val="none" w:sz="0" w:space="0" w:color="auto"/>
            <w:right w:val="none" w:sz="0" w:space="0" w:color="auto"/>
          </w:divBdr>
          <w:divsChild>
            <w:div w:id="1040974418">
              <w:marLeft w:val="0"/>
              <w:marRight w:val="0"/>
              <w:marTop w:val="0"/>
              <w:marBottom w:val="0"/>
              <w:divBdr>
                <w:top w:val="none" w:sz="0" w:space="0" w:color="auto"/>
                <w:left w:val="none" w:sz="0" w:space="0" w:color="auto"/>
                <w:bottom w:val="none" w:sz="0" w:space="0" w:color="auto"/>
                <w:right w:val="none" w:sz="0" w:space="0" w:color="auto"/>
              </w:divBdr>
              <w:divsChild>
                <w:div w:id="1111053676">
                  <w:marLeft w:val="0"/>
                  <w:marRight w:val="0"/>
                  <w:marTop w:val="0"/>
                  <w:marBottom w:val="0"/>
                  <w:divBdr>
                    <w:top w:val="none" w:sz="0" w:space="0" w:color="auto"/>
                    <w:left w:val="none" w:sz="0" w:space="0" w:color="auto"/>
                    <w:bottom w:val="none" w:sz="0" w:space="0" w:color="auto"/>
                    <w:right w:val="none" w:sz="0" w:space="0" w:color="auto"/>
                  </w:divBdr>
                  <w:divsChild>
                    <w:div w:id="1000623641">
                      <w:marLeft w:val="0"/>
                      <w:marRight w:val="0"/>
                      <w:marTop w:val="0"/>
                      <w:marBottom w:val="0"/>
                      <w:divBdr>
                        <w:top w:val="none" w:sz="0" w:space="0" w:color="auto"/>
                        <w:left w:val="none" w:sz="0" w:space="0" w:color="auto"/>
                        <w:bottom w:val="none" w:sz="0" w:space="0" w:color="auto"/>
                        <w:right w:val="none" w:sz="0" w:space="0" w:color="auto"/>
                      </w:divBdr>
                      <w:divsChild>
                        <w:div w:id="187262091">
                          <w:marLeft w:val="0"/>
                          <w:marRight w:val="0"/>
                          <w:marTop w:val="0"/>
                          <w:marBottom w:val="0"/>
                          <w:divBdr>
                            <w:top w:val="none" w:sz="0" w:space="0" w:color="auto"/>
                            <w:left w:val="none" w:sz="0" w:space="0" w:color="auto"/>
                            <w:bottom w:val="none" w:sz="0" w:space="0" w:color="auto"/>
                            <w:right w:val="none" w:sz="0" w:space="0" w:color="auto"/>
                          </w:divBdr>
                          <w:divsChild>
                            <w:div w:id="140463306">
                              <w:marLeft w:val="0"/>
                              <w:marRight w:val="0"/>
                              <w:marTop w:val="0"/>
                              <w:marBottom w:val="0"/>
                              <w:divBdr>
                                <w:top w:val="none" w:sz="0" w:space="0" w:color="auto"/>
                                <w:left w:val="none" w:sz="0" w:space="0" w:color="auto"/>
                                <w:bottom w:val="none" w:sz="0" w:space="0" w:color="auto"/>
                                <w:right w:val="none" w:sz="0" w:space="0" w:color="auto"/>
                              </w:divBdr>
                              <w:divsChild>
                                <w:div w:id="1082413088">
                                  <w:marLeft w:val="0"/>
                                  <w:marRight w:val="0"/>
                                  <w:marTop w:val="0"/>
                                  <w:marBottom w:val="0"/>
                                  <w:divBdr>
                                    <w:top w:val="none" w:sz="0" w:space="0" w:color="auto"/>
                                    <w:left w:val="none" w:sz="0" w:space="0" w:color="auto"/>
                                    <w:bottom w:val="none" w:sz="0" w:space="0" w:color="auto"/>
                                    <w:right w:val="none" w:sz="0" w:space="0" w:color="auto"/>
                                  </w:divBdr>
                                  <w:divsChild>
                                    <w:div w:id="1823306171">
                                      <w:marLeft w:val="0"/>
                                      <w:marRight w:val="0"/>
                                      <w:marTop w:val="0"/>
                                      <w:marBottom w:val="0"/>
                                      <w:divBdr>
                                        <w:top w:val="none" w:sz="0" w:space="0" w:color="auto"/>
                                        <w:left w:val="none" w:sz="0" w:space="0" w:color="auto"/>
                                        <w:bottom w:val="none" w:sz="0" w:space="0" w:color="auto"/>
                                        <w:right w:val="none" w:sz="0" w:space="0" w:color="auto"/>
                                      </w:divBdr>
                                      <w:divsChild>
                                        <w:div w:id="7457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904587">
      <w:bodyDiv w:val="1"/>
      <w:marLeft w:val="0"/>
      <w:marRight w:val="0"/>
      <w:marTop w:val="0"/>
      <w:marBottom w:val="0"/>
      <w:divBdr>
        <w:top w:val="none" w:sz="0" w:space="0" w:color="auto"/>
        <w:left w:val="none" w:sz="0" w:space="0" w:color="auto"/>
        <w:bottom w:val="none" w:sz="0" w:space="0" w:color="auto"/>
        <w:right w:val="none" w:sz="0" w:space="0" w:color="auto"/>
      </w:divBdr>
    </w:div>
    <w:div w:id="1466311781">
      <w:bodyDiv w:val="1"/>
      <w:marLeft w:val="0"/>
      <w:marRight w:val="0"/>
      <w:marTop w:val="30"/>
      <w:marBottom w:val="750"/>
      <w:divBdr>
        <w:top w:val="none" w:sz="0" w:space="0" w:color="auto"/>
        <w:left w:val="none" w:sz="0" w:space="0" w:color="auto"/>
        <w:bottom w:val="none" w:sz="0" w:space="0" w:color="auto"/>
        <w:right w:val="none" w:sz="0" w:space="0" w:color="auto"/>
      </w:divBdr>
      <w:divsChild>
        <w:div w:id="1719234997">
          <w:marLeft w:val="0"/>
          <w:marRight w:val="0"/>
          <w:marTop w:val="0"/>
          <w:marBottom w:val="0"/>
          <w:divBdr>
            <w:top w:val="none" w:sz="0" w:space="0" w:color="auto"/>
            <w:left w:val="none" w:sz="0" w:space="0" w:color="auto"/>
            <w:bottom w:val="none" w:sz="0" w:space="0" w:color="auto"/>
            <w:right w:val="none" w:sz="0" w:space="0" w:color="auto"/>
          </w:divBdr>
        </w:div>
      </w:divsChild>
    </w:div>
    <w:div w:id="1922716073">
      <w:bodyDiv w:val="1"/>
      <w:marLeft w:val="0"/>
      <w:marRight w:val="0"/>
      <w:marTop w:val="30"/>
      <w:marBottom w:val="750"/>
      <w:divBdr>
        <w:top w:val="none" w:sz="0" w:space="0" w:color="auto"/>
        <w:left w:val="none" w:sz="0" w:space="0" w:color="auto"/>
        <w:bottom w:val="none" w:sz="0" w:space="0" w:color="auto"/>
        <w:right w:val="none" w:sz="0" w:space="0" w:color="auto"/>
      </w:divBdr>
      <w:divsChild>
        <w:div w:id="174891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27721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2016-01-04T14:38:00Z</cp:lastPrinted>
  <dcterms:created xsi:type="dcterms:W3CDTF">2016-01-12T21:46:00Z</dcterms:created>
  <dcterms:modified xsi:type="dcterms:W3CDTF">2016-02-11T21:39:00Z</dcterms:modified>
</cp:coreProperties>
</file>