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040"/>
      </w:tblGrid>
      <w:tr w:rsidR="00DC7296" w:rsidRPr="00167DF9" w14:paraId="49EDF633" w14:textId="77777777" w:rsidTr="00185DB2">
        <w:trPr>
          <w:trHeight w:val="1440"/>
        </w:trPr>
        <w:tc>
          <w:tcPr>
            <w:tcW w:w="4410" w:type="dxa"/>
            <w:shd w:val="clear" w:color="auto" w:fill="auto"/>
          </w:tcPr>
          <w:p w14:paraId="3491E13C" w14:textId="77777777" w:rsidR="00DC7296" w:rsidRPr="000B456D" w:rsidRDefault="00DC7296" w:rsidP="00185DB2">
            <w:pPr>
              <w:jc w:val="center"/>
              <w:rPr>
                <w:rFonts w:ascii="Calisto MT" w:hAnsi="Calisto MT"/>
                <w:b/>
                <w:bCs/>
              </w:rPr>
            </w:pPr>
            <w:r w:rsidRPr="000B456D">
              <w:rPr>
                <w:rFonts w:ascii="Calisto MT" w:hAnsi="Calisto MT"/>
                <w:b/>
                <w:bCs/>
                <w:noProof/>
                <w:sz w:val="28"/>
                <w:szCs w:val="28"/>
              </w:rPr>
              <w:drawing>
                <wp:inline distT="0" distB="0" distL="0" distR="0" wp14:anchorId="490ADFF6" wp14:editId="413ECD9D">
                  <wp:extent cx="2162810" cy="590733"/>
                  <wp:effectExtent l="0" t="0" r="0" b="0"/>
                  <wp:docPr id="1802285587" name="Picture 1802285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810" cy="590733"/>
                          </a:xfrm>
                          <a:prstGeom prst="rect">
                            <a:avLst/>
                          </a:prstGeom>
                          <a:noFill/>
                        </pic:spPr>
                      </pic:pic>
                    </a:graphicData>
                  </a:graphic>
                </wp:inline>
              </w:drawing>
            </w:r>
          </w:p>
        </w:tc>
        <w:tc>
          <w:tcPr>
            <w:tcW w:w="5040" w:type="dxa"/>
            <w:shd w:val="clear" w:color="auto" w:fill="auto"/>
          </w:tcPr>
          <w:p w14:paraId="5B7A78FC" w14:textId="3156D118" w:rsidR="00DC7296" w:rsidRPr="000B456D" w:rsidRDefault="00B04642" w:rsidP="00185DB2">
            <w:pPr>
              <w:pStyle w:val="Title"/>
              <w:rPr>
                <w:noProof/>
                <w:color w:val="auto"/>
                <w:sz w:val="40"/>
                <w:szCs w:val="52"/>
              </w:rPr>
            </w:pPr>
            <w:r w:rsidRPr="000B456D">
              <w:rPr>
                <w:noProof/>
                <w:color w:val="auto"/>
                <w:sz w:val="40"/>
                <w:szCs w:val="52"/>
              </w:rPr>
              <w:t>202</w:t>
            </w:r>
            <w:r w:rsidR="000B456D" w:rsidRPr="000B456D">
              <w:rPr>
                <w:noProof/>
                <w:color w:val="auto"/>
                <w:sz w:val="40"/>
                <w:szCs w:val="52"/>
              </w:rPr>
              <w:t>5</w:t>
            </w:r>
            <w:r w:rsidRPr="000B456D">
              <w:rPr>
                <w:noProof/>
                <w:color w:val="auto"/>
                <w:sz w:val="40"/>
                <w:szCs w:val="52"/>
              </w:rPr>
              <w:t xml:space="preserve"> PSC </w:t>
            </w:r>
            <w:r w:rsidR="00DC7296" w:rsidRPr="000B456D">
              <w:rPr>
                <w:noProof/>
                <w:color w:val="auto"/>
                <w:sz w:val="40"/>
                <w:szCs w:val="52"/>
              </w:rPr>
              <w:t>Repor</w:t>
            </w:r>
            <w:r w:rsidR="00185DB2" w:rsidRPr="000B456D">
              <w:rPr>
                <w:noProof/>
                <w:color w:val="auto"/>
                <w:sz w:val="40"/>
                <w:szCs w:val="52"/>
              </w:rPr>
              <w:t xml:space="preserve">ting Requirements </w:t>
            </w:r>
            <w:r w:rsidRPr="000B456D">
              <w:rPr>
                <w:noProof/>
                <w:color w:val="auto"/>
                <w:sz w:val="40"/>
                <w:szCs w:val="52"/>
              </w:rPr>
              <w:t>for Electric Cooperatives</w:t>
            </w:r>
          </w:p>
          <w:p w14:paraId="0480529D" w14:textId="77777777" w:rsidR="00DC7296" w:rsidRPr="000B456D" w:rsidRDefault="00DC7296" w:rsidP="00185DB2">
            <w:pPr>
              <w:rPr>
                <w:sz w:val="40"/>
                <w:szCs w:val="52"/>
              </w:rPr>
            </w:pPr>
          </w:p>
        </w:tc>
      </w:tr>
    </w:tbl>
    <w:p w14:paraId="4EE0E727" w14:textId="77777777" w:rsidR="00911CAD" w:rsidRDefault="00911CAD" w:rsidP="00957EE9">
      <w:pPr>
        <w:spacing w:after="240"/>
        <w:jc w:val="both"/>
        <w:rPr>
          <w:sz w:val="28"/>
          <w:szCs w:val="28"/>
        </w:rPr>
      </w:pPr>
      <w:r>
        <w:rPr>
          <w:b/>
          <w:bCs/>
          <w:sz w:val="28"/>
          <w:szCs w:val="28"/>
          <w:u w:val="single"/>
        </w:rPr>
        <w:t>By March 1:</w:t>
      </w:r>
    </w:p>
    <w:p w14:paraId="25109524" w14:textId="790FC674" w:rsidR="00911CAD" w:rsidRPr="00DD2447" w:rsidRDefault="00911CAD" w:rsidP="00DD2447">
      <w:pPr>
        <w:pStyle w:val="ListParagraph"/>
        <w:numPr>
          <w:ilvl w:val="0"/>
          <w:numId w:val="5"/>
        </w:numPr>
        <w:spacing w:after="240"/>
        <w:jc w:val="both"/>
        <w:rPr>
          <w:b/>
          <w:sz w:val="28"/>
          <w:szCs w:val="28"/>
        </w:rPr>
      </w:pPr>
      <w:r w:rsidRPr="00DD2447">
        <w:rPr>
          <w:sz w:val="28"/>
          <w:szCs w:val="28"/>
          <w:u w:val="single"/>
        </w:rPr>
        <w:t>Report on Standards of Construction</w:t>
      </w:r>
      <w:r w:rsidR="00DD2447">
        <w:rPr>
          <w:sz w:val="28"/>
          <w:szCs w:val="28"/>
        </w:rPr>
        <w:t>:</w:t>
      </w:r>
      <w:r w:rsidRPr="00DD2447">
        <w:rPr>
          <w:sz w:val="28"/>
          <w:szCs w:val="28"/>
        </w:rPr>
        <w:t xml:space="preserve">  This rule was implemented after the 2004/2005 hurricane seasons to provide the Commission with information on storm hardening efforts. </w:t>
      </w:r>
      <w:r w:rsidR="00BF6256" w:rsidRPr="00DD2447">
        <w:rPr>
          <w:sz w:val="28"/>
          <w:szCs w:val="28"/>
        </w:rPr>
        <w:t xml:space="preserve"> We amended Rule 25-6.0343 in 2020.  The new reporting requires you to file the Standards of Construction information in paragraph (3) of the rule every </w:t>
      </w:r>
      <w:r w:rsidR="00BF6256" w:rsidRPr="00DD2447">
        <w:rPr>
          <w:b/>
          <w:bCs/>
          <w:sz w:val="28"/>
          <w:szCs w:val="28"/>
          <w:u w:val="single"/>
        </w:rPr>
        <w:t>3 years instead of annually</w:t>
      </w:r>
      <w:r w:rsidR="00BF6256" w:rsidRPr="00DD2447">
        <w:rPr>
          <w:sz w:val="28"/>
          <w:szCs w:val="28"/>
        </w:rPr>
        <w:t xml:space="preserve">.  The other filing requirements in paragraphs 4 &amp; 5 (Facility Inspections and Vegetation Management) must still be filed annually.  </w:t>
      </w:r>
      <w:r w:rsidR="00F75230" w:rsidRPr="00DD2447">
        <w:rPr>
          <w:sz w:val="28"/>
          <w:szCs w:val="28"/>
        </w:rPr>
        <w:t>The 3-year cycle for the Standards of Construction beg</w:t>
      </w:r>
      <w:r w:rsidR="002554C6" w:rsidRPr="00DD2447">
        <w:rPr>
          <w:sz w:val="28"/>
          <w:szCs w:val="28"/>
        </w:rPr>
        <w:t>a</w:t>
      </w:r>
      <w:r w:rsidR="00F75230" w:rsidRPr="00DD2447">
        <w:rPr>
          <w:sz w:val="28"/>
          <w:szCs w:val="28"/>
        </w:rPr>
        <w:t>n March 1, 2021.</w:t>
      </w:r>
      <w:r w:rsidR="00BF6256" w:rsidRPr="00DD2447">
        <w:rPr>
          <w:sz w:val="28"/>
          <w:szCs w:val="28"/>
        </w:rPr>
        <w:t xml:space="preserve"> </w:t>
      </w:r>
      <w:r w:rsidRPr="00DD2447">
        <w:rPr>
          <w:sz w:val="28"/>
          <w:szCs w:val="28"/>
        </w:rPr>
        <w:t xml:space="preserve">See </w:t>
      </w:r>
      <w:r w:rsidR="00F75230" w:rsidRPr="00DD2447">
        <w:rPr>
          <w:sz w:val="28"/>
          <w:szCs w:val="28"/>
        </w:rPr>
        <w:t xml:space="preserve">amended </w:t>
      </w:r>
      <w:r w:rsidRPr="00DD2447">
        <w:rPr>
          <w:sz w:val="28"/>
          <w:szCs w:val="28"/>
        </w:rPr>
        <w:t>Rule 25-6.0343, F.A.C. (attached) for details</w:t>
      </w:r>
      <w:r w:rsidRPr="00DD2447">
        <w:rPr>
          <w:b/>
          <w:sz w:val="28"/>
          <w:szCs w:val="28"/>
        </w:rPr>
        <w:t xml:space="preserve">.  </w:t>
      </w:r>
    </w:p>
    <w:p w14:paraId="2766DEED" w14:textId="77777777" w:rsidR="00911CAD" w:rsidRDefault="00911CAD" w:rsidP="00957EE9">
      <w:pPr>
        <w:spacing w:after="240"/>
        <w:jc w:val="both"/>
        <w:rPr>
          <w:sz w:val="28"/>
          <w:szCs w:val="28"/>
        </w:rPr>
      </w:pPr>
      <w:r>
        <w:rPr>
          <w:b/>
          <w:bCs/>
          <w:sz w:val="28"/>
          <w:szCs w:val="28"/>
          <w:u w:val="single"/>
        </w:rPr>
        <w:t>By April 1:</w:t>
      </w:r>
    </w:p>
    <w:p w14:paraId="2B57F596" w14:textId="507F0823" w:rsidR="00911CAD" w:rsidRDefault="00911CAD" w:rsidP="00883D0F">
      <w:pPr>
        <w:pStyle w:val="ListParagraph"/>
        <w:numPr>
          <w:ilvl w:val="0"/>
          <w:numId w:val="2"/>
        </w:numPr>
        <w:spacing w:after="240"/>
        <w:ind w:left="720"/>
        <w:jc w:val="both"/>
        <w:rPr>
          <w:sz w:val="28"/>
          <w:szCs w:val="28"/>
        </w:rPr>
      </w:pPr>
      <w:r w:rsidRPr="00BE3CA8">
        <w:rPr>
          <w:sz w:val="28"/>
          <w:szCs w:val="28"/>
          <w:u w:val="single"/>
        </w:rPr>
        <w:t>Report on Net-metering/renewable interconnections</w:t>
      </w:r>
      <w:r w:rsidR="00DD2447">
        <w:rPr>
          <w:sz w:val="28"/>
          <w:szCs w:val="28"/>
        </w:rPr>
        <w:t>:</w:t>
      </w:r>
      <w:r w:rsidRPr="00BE3CA8">
        <w:rPr>
          <w:sz w:val="28"/>
          <w:szCs w:val="28"/>
        </w:rPr>
        <w:t xml:space="preserve">  Under Rule 25-6.065(10), F.A.C. (attached) and Section 366.91(6), F.S. (attached) each distribution co-op must file a report to the Commission detailing customer participation in interconnection and net-metering programs.  Rule 25-6.065, F.A.C. provides the details of this report.  </w:t>
      </w:r>
    </w:p>
    <w:p w14:paraId="1674940A" w14:textId="77777777" w:rsidR="00957EE9" w:rsidRPr="00BE3CA8" w:rsidRDefault="00957EE9" w:rsidP="00957EE9">
      <w:pPr>
        <w:pStyle w:val="ListParagraph"/>
        <w:spacing w:after="240"/>
        <w:ind w:left="990"/>
        <w:rPr>
          <w:sz w:val="28"/>
          <w:szCs w:val="28"/>
        </w:rPr>
      </w:pPr>
    </w:p>
    <w:p w14:paraId="11E8DB72" w14:textId="576FBEE5" w:rsidR="00B90AB3" w:rsidRPr="00B90AB3" w:rsidRDefault="00911CAD" w:rsidP="00DD2447">
      <w:pPr>
        <w:pStyle w:val="ListParagraph"/>
        <w:numPr>
          <w:ilvl w:val="0"/>
          <w:numId w:val="2"/>
        </w:numPr>
        <w:spacing w:after="240"/>
        <w:ind w:left="720"/>
        <w:jc w:val="both"/>
        <w:rPr>
          <w:sz w:val="28"/>
          <w:szCs w:val="28"/>
        </w:rPr>
      </w:pPr>
      <w:r w:rsidRPr="00B90AB3">
        <w:rPr>
          <w:sz w:val="28"/>
          <w:szCs w:val="28"/>
          <w:u w:val="single"/>
        </w:rPr>
        <w:t>Renewable energy and energy conservation standard</w:t>
      </w:r>
      <w:r w:rsidR="00DD2447">
        <w:rPr>
          <w:sz w:val="28"/>
          <w:szCs w:val="28"/>
        </w:rPr>
        <w:t>:</w:t>
      </w:r>
      <w:r w:rsidRPr="00B90AB3">
        <w:rPr>
          <w:sz w:val="28"/>
          <w:szCs w:val="28"/>
        </w:rPr>
        <w:t xml:space="preserve">  Each co-op must develop standards for the promotion, encouragement, and expansion of the use of renewable energy resources and energy conservation and efficiency measures pursuant to Section 366.92(3), F.S. (attached) The report to the Commission must “identify” these standards but there are no details in the statute.</w:t>
      </w:r>
    </w:p>
    <w:p w14:paraId="3547788F" w14:textId="77777777" w:rsidR="00B90AB3" w:rsidRDefault="00B90AB3" w:rsidP="00957EE9">
      <w:pPr>
        <w:pStyle w:val="ListParagraph"/>
        <w:spacing w:after="240"/>
        <w:ind w:left="990"/>
        <w:jc w:val="both"/>
        <w:rPr>
          <w:sz w:val="28"/>
          <w:szCs w:val="28"/>
        </w:rPr>
      </w:pPr>
    </w:p>
    <w:p w14:paraId="701AE7AD" w14:textId="2F788831" w:rsidR="00B04642" w:rsidRPr="00957EE9" w:rsidRDefault="00911CAD" w:rsidP="00DD2447">
      <w:pPr>
        <w:pStyle w:val="ListParagraph"/>
        <w:widowControl/>
        <w:numPr>
          <w:ilvl w:val="0"/>
          <w:numId w:val="2"/>
        </w:numPr>
        <w:autoSpaceDE/>
        <w:autoSpaceDN/>
        <w:adjustRightInd/>
        <w:spacing w:after="160" w:line="259" w:lineRule="auto"/>
        <w:ind w:left="720"/>
        <w:jc w:val="both"/>
        <w:rPr>
          <w:sz w:val="28"/>
          <w:szCs w:val="28"/>
          <w:u w:val="single"/>
        </w:rPr>
      </w:pPr>
      <w:r w:rsidRPr="00957EE9">
        <w:rPr>
          <w:b/>
          <w:bCs/>
          <w:sz w:val="28"/>
          <w:szCs w:val="28"/>
          <w:u w:val="single"/>
        </w:rPr>
        <w:t>Seminole only-</w:t>
      </w:r>
      <w:r w:rsidRPr="00957EE9">
        <w:rPr>
          <w:sz w:val="28"/>
          <w:szCs w:val="28"/>
          <w:u w:val="single"/>
        </w:rPr>
        <w:t xml:space="preserve"> Report on renewable energy</w:t>
      </w:r>
      <w:r w:rsidR="00DD2447">
        <w:rPr>
          <w:sz w:val="28"/>
          <w:szCs w:val="28"/>
        </w:rPr>
        <w:t>:</w:t>
      </w:r>
      <w:r w:rsidRPr="00957EE9">
        <w:rPr>
          <w:sz w:val="28"/>
          <w:szCs w:val="28"/>
        </w:rPr>
        <w:t xml:space="preserve"> Pursuant to Rule 25-17.300, F.A.C. (attached) Seminole must report as part of their </w:t>
      </w:r>
      <w:proofErr w:type="gramStart"/>
      <w:r w:rsidR="00185DB2" w:rsidRPr="00957EE9">
        <w:rPr>
          <w:sz w:val="28"/>
          <w:szCs w:val="28"/>
        </w:rPr>
        <w:t>T</w:t>
      </w:r>
      <w:r w:rsidRPr="00957EE9">
        <w:rPr>
          <w:sz w:val="28"/>
          <w:szCs w:val="28"/>
        </w:rPr>
        <w:t>en</w:t>
      </w:r>
      <w:r w:rsidR="00185DB2" w:rsidRPr="00957EE9">
        <w:rPr>
          <w:sz w:val="28"/>
          <w:szCs w:val="28"/>
        </w:rPr>
        <w:t xml:space="preserve"> Y</w:t>
      </w:r>
      <w:r w:rsidRPr="00957EE9">
        <w:rPr>
          <w:sz w:val="28"/>
          <w:szCs w:val="28"/>
        </w:rPr>
        <w:t>ear</w:t>
      </w:r>
      <w:proofErr w:type="gramEnd"/>
      <w:r w:rsidRPr="00957EE9">
        <w:rPr>
          <w:sz w:val="28"/>
          <w:szCs w:val="28"/>
        </w:rPr>
        <w:t xml:space="preserve"> </w:t>
      </w:r>
      <w:r w:rsidR="00185DB2" w:rsidRPr="00957EE9">
        <w:rPr>
          <w:sz w:val="28"/>
          <w:szCs w:val="28"/>
        </w:rPr>
        <w:t>S</w:t>
      </w:r>
      <w:r w:rsidRPr="00957EE9">
        <w:rPr>
          <w:sz w:val="28"/>
          <w:szCs w:val="28"/>
        </w:rPr>
        <w:t xml:space="preserve">ite </w:t>
      </w:r>
      <w:r w:rsidR="00185DB2" w:rsidRPr="00957EE9">
        <w:rPr>
          <w:sz w:val="28"/>
          <w:szCs w:val="28"/>
        </w:rPr>
        <w:t>P</w:t>
      </w:r>
      <w:r w:rsidRPr="00957EE9">
        <w:rPr>
          <w:sz w:val="28"/>
          <w:szCs w:val="28"/>
        </w:rPr>
        <w:t xml:space="preserve">lan submittal: 1) the total MWs and percentage of its total capacity mix comprised of renewable generating capacity; 2) the total MWhs and percentage of its net energy for load and fuel mix of energy purchased from renewable generation; and 3) the total MWs and MWhs of self-service generation by renewable generation.  </w:t>
      </w:r>
      <w:r w:rsidR="00B04642" w:rsidRPr="00957EE9">
        <w:rPr>
          <w:sz w:val="28"/>
          <w:szCs w:val="28"/>
          <w:u w:val="single"/>
        </w:rPr>
        <w:br w:type="page"/>
      </w:r>
    </w:p>
    <w:p w14:paraId="3AD7C1E0" w14:textId="2C71A8C2" w:rsidR="00695CDF" w:rsidRPr="00695CDF" w:rsidRDefault="00695CDF" w:rsidP="00695CDF">
      <w:pPr>
        <w:spacing w:after="240"/>
        <w:jc w:val="both"/>
        <w:rPr>
          <w:sz w:val="28"/>
          <w:szCs w:val="28"/>
        </w:rPr>
      </w:pPr>
      <w:r w:rsidRPr="00695CDF">
        <w:rPr>
          <w:b/>
          <w:bCs/>
          <w:sz w:val="28"/>
          <w:szCs w:val="28"/>
          <w:u w:val="single"/>
        </w:rPr>
        <w:lastRenderedPageBreak/>
        <w:t xml:space="preserve">By </w:t>
      </w:r>
      <w:r>
        <w:rPr>
          <w:b/>
          <w:bCs/>
          <w:sz w:val="28"/>
          <w:szCs w:val="28"/>
          <w:u w:val="single"/>
        </w:rPr>
        <w:t>May</w:t>
      </w:r>
      <w:r w:rsidRPr="00695CDF">
        <w:rPr>
          <w:b/>
          <w:bCs/>
          <w:sz w:val="28"/>
          <w:szCs w:val="28"/>
          <w:u w:val="single"/>
        </w:rPr>
        <w:t xml:space="preserve"> 1</w:t>
      </w:r>
      <w:r>
        <w:rPr>
          <w:b/>
          <w:bCs/>
          <w:sz w:val="28"/>
          <w:szCs w:val="28"/>
          <w:u w:val="single"/>
        </w:rPr>
        <w:t>5</w:t>
      </w:r>
      <w:r w:rsidRPr="00695CDF">
        <w:rPr>
          <w:b/>
          <w:bCs/>
          <w:sz w:val="28"/>
          <w:szCs w:val="28"/>
          <w:u w:val="single"/>
        </w:rPr>
        <w:t>:</w:t>
      </w:r>
    </w:p>
    <w:p w14:paraId="4BCCC358" w14:textId="0B26CC4E" w:rsidR="00695CDF" w:rsidRPr="000B456D" w:rsidRDefault="00695CDF" w:rsidP="00DD2447">
      <w:pPr>
        <w:pStyle w:val="ListParagraph"/>
        <w:numPr>
          <w:ilvl w:val="0"/>
          <w:numId w:val="2"/>
        </w:numPr>
        <w:spacing w:before="120" w:after="240" w:line="260" w:lineRule="atLeast"/>
        <w:ind w:left="720"/>
        <w:jc w:val="both"/>
        <w:rPr>
          <w:color w:val="000000"/>
          <w:sz w:val="28"/>
          <w:szCs w:val="28"/>
        </w:rPr>
      </w:pPr>
      <w:r w:rsidRPr="000B456D">
        <w:rPr>
          <w:color w:val="000000"/>
          <w:sz w:val="28"/>
          <w:szCs w:val="28"/>
          <w:u w:val="single"/>
        </w:rPr>
        <w:t>Mutual Aid Agreement Attestation:</w:t>
      </w:r>
      <w:r>
        <w:rPr>
          <w:color w:val="000000"/>
          <w:sz w:val="28"/>
          <w:szCs w:val="28"/>
        </w:rPr>
        <w:t xml:space="preserve">  </w:t>
      </w:r>
      <w:r w:rsidRPr="000B456D">
        <w:rPr>
          <w:b/>
          <w:bCs/>
          <w:color w:val="000000"/>
          <w:sz w:val="28"/>
          <w:szCs w:val="28"/>
        </w:rPr>
        <w:t>NEW REQUIREMENT</w:t>
      </w:r>
      <w:r>
        <w:rPr>
          <w:color w:val="000000"/>
          <w:sz w:val="28"/>
          <w:szCs w:val="28"/>
        </w:rPr>
        <w:t xml:space="preserve"> </w:t>
      </w:r>
      <w:r>
        <w:rPr>
          <w:color w:val="000000" w:themeColor="text1"/>
          <w:sz w:val="28"/>
          <w:szCs w:val="28"/>
        </w:rPr>
        <w:t xml:space="preserve">Section 366.042, F.S. became law in 2024 and requires </w:t>
      </w:r>
      <w:r w:rsidRPr="000B456D">
        <w:rPr>
          <w:color w:val="000000" w:themeColor="text1"/>
          <w:sz w:val="28"/>
          <w:szCs w:val="28"/>
        </w:rPr>
        <w:t>electric cooperative</w:t>
      </w:r>
      <w:r>
        <w:rPr>
          <w:color w:val="000000" w:themeColor="text1"/>
          <w:sz w:val="28"/>
          <w:szCs w:val="28"/>
        </w:rPr>
        <w:t>s</w:t>
      </w:r>
      <w:r w:rsidRPr="000B456D">
        <w:rPr>
          <w:color w:val="000000" w:themeColor="text1"/>
          <w:sz w:val="28"/>
          <w:szCs w:val="28"/>
        </w:rPr>
        <w:t xml:space="preserve"> </w:t>
      </w:r>
      <w:r>
        <w:rPr>
          <w:color w:val="000000" w:themeColor="text1"/>
          <w:sz w:val="28"/>
          <w:szCs w:val="28"/>
        </w:rPr>
        <w:t>to</w:t>
      </w:r>
      <w:r w:rsidRPr="000B456D">
        <w:rPr>
          <w:color w:val="000000" w:themeColor="text1"/>
          <w:sz w:val="28"/>
          <w:szCs w:val="28"/>
        </w:rPr>
        <w:t xml:space="preserve"> maintain at least one mutual aid agreement and annually provide an attestation to the Commission confirming this.</w:t>
      </w:r>
      <w:r>
        <w:rPr>
          <w:color w:val="000000" w:themeColor="text1"/>
          <w:sz w:val="28"/>
          <w:szCs w:val="28"/>
        </w:rPr>
        <w:t xml:space="preserve"> Being a party to the NRECA mutual aid agreement (as all FECA members currently are) satisfies the first statutory requirement. </w:t>
      </w:r>
      <w:bookmarkStart w:id="0" w:name="_Hlk185253361"/>
      <w:r>
        <w:rPr>
          <w:color w:val="000000" w:themeColor="text1"/>
          <w:sz w:val="28"/>
          <w:szCs w:val="28"/>
        </w:rPr>
        <w:t>Each co</w:t>
      </w:r>
      <w:r w:rsidR="00DD2447">
        <w:rPr>
          <w:color w:val="000000" w:themeColor="text1"/>
          <w:sz w:val="28"/>
          <w:szCs w:val="28"/>
        </w:rPr>
        <w:t>-</w:t>
      </w:r>
      <w:r>
        <w:rPr>
          <w:color w:val="000000" w:themeColor="text1"/>
          <w:sz w:val="28"/>
          <w:szCs w:val="28"/>
        </w:rPr>
        <w:t>op then must fill out and submit the attached Mutual Aid Attestation to the PSC by May 15 each year.</w:t>
      </w:r>
      <w:bookmarkEnd w:id="0"/>
    </w:p>
    <w:p w14:paraId="56E37EE7" w14:textId="3A9994BD" w:rsidR="00911CAD" w:rsidRPr="00957EE9" w:rsidRDefault="00911CAD" w:rsidP="00957EE9">
      <w:pPr>
        <w:spacing w:after="240"/>
        <w:jc w:val="both"/>
        <w:rPr>
          <w:b/>
          <w:bCs/>
          <w:sz w:val="28"/>
          <w:szCs w:val="28"/>
          <w:u w:val="single"/>
        </w:rPr>
      </w:pPr>
      <w:r w:rsidRPr="00B04642">
        <w:rPr>
          <w:b/>
          <w:bCs/>
          <w:sz w:val="28"/>
          <w:szCs w:val="28"/>
          <w:u w:val="single"/>
        </w:rPr>
        <w:t>Other Reminders for the year:</w:t>
      </w:r>
    </w:p>
    <w:p w14:paraId="3620685D" w14:textId="7D932337" w:rsidR="00911CAD" w:rsidRDefault="00911CAD" w:rsidP="00883D0F">
      <w:pPr>
        <w:pStyle w:val="ListParagraph"/>
        <w:numPr>
          <w:ilvl w:val="0"/>
          <w:numId w:val="3"/>
        </w:numPr>
        <w:spacing w:after="240"/>
        <w:jc w:val="both"/>
        <w:rPr>
          <w:color w:val="000000" w:themeColor="text1"/>
          <w:sz w:val="28"/>
          <w:szCs w:val="28"/>
        </w:rPr>
      </w:pPr>
      <w:r>
        <w:rPr>
          <w:color w:val="000000" w:themeColor="text1"/>
          <w:sz w:val="28"/>
          <w:szCs w:val="28"/>
          <w:u w:val="single"/>
        </w:rPr>
        <w:t>Streetlight Notification:</w:t>
      </w:r>
      <w:r>
        <w:rPr>
          <w:color w:val="000000" w:themeColor="text1"/>
          <w:sz w:val="28"/>
          <w:szCs w:val="28"/>
        </w:rPr>
        <w:t xml:space="preserve">  Section </w:t>
      </w:r>
      <w:bookmarkStart w:id="1" w:name="_Hlk59448028"/>
      <w:r>
        <w:rPr>
          <w:color w:val="000000" w:themeColor="text1"/>
          <w:sz w:val="28"/>
          <w:szCs w:val="28"/>
        </w:rPr>
        <w:t>768.1382</w:t>
      </w:r>
      <w:bookmarkEnd w:id="1"/>
      <w:r>
        <w:rPr>
          <w:color w:val="000000" w:themeColor="text1"/>
          <w:sz w:val="28"/>
          <w:szCs w:val="28"/>
        </w:rPr>
        <w:t xml:space="preserve">, F.S. (attached) provides that streetlight providers cannot be held liable for any civil damages for personal injury, wrongful death, or property damage caused from malfunctioning or burned out street and outdoor lights as long as the provider annually notifies its customers (members) and the general public on how they can report malfunctioning lights.  Please make sure you have a plan in place to provide this annual notice.  </w:t>
      </w:r>
    </w:p>
    <w:p w14:paraId="79887997" w14:textId="77777777" w:rsidR="00957EE9" w:rsidRPr="00957EE9" w:rsidRDefault="00957EE9" w:rsidP="00883D0F">
      <w:pPr>
        <w:pStyle w:val="ListParagraph"/>
        <w:spacing w:after="240"/>
        <w:jc w:val="both"/>
        <w:rPr>
          <w:color w:val="000000" w:themeColor="text1"/>
          <w:sz w:val="28"/>
          <w:szCs w:val="28"/>
        </w:rPr>
      </w:pPr>
    </w:p>
    <w:p w14:paraId="0BECA397" w14:textId="60AA1626" w:rsidR="00957EE9" w:rsidRPr="00957EE9" w:rsidRDefault="00911CAD" w:rsidP="00883D0F">
      <w:pPr>
        <w:pStyle w:val="ListParagraph"/>
        <w:numPr>
          <w:ilvl w:val="0"/>
          <w:numId w:val="3"/>
        </w:numPr>
        <w:spacing w:after="240"/>
        <w:jc w:val="both"/>
        <w:rPr>
          <w:color w:val="000000" w:themeColor="text1"/>
          <w:sz w:val="28"/>
          <w:szCs w:val="28"/>
          <w:u w:val="single"/>
        </w:rPr>
      </w:pPr>
      <w:r w:rsidRPr="000B456D">
        <w:rPr>
          <w:color w:val="000000" w:themeColor="text1"/>
          <w:sz w:val="28"/>
          <w:szCs w:val="28"/>
          <w:u w:val="single"/>
        </w:rPr>
        <w:t>FECA Filing December Rates for All Members at PSC:</w:t>
      </w:r>
      <w:r w:rsidRPr="000B456D">
        <w:rPr>
          <w:color w:val="000000" w:themeColor="text1"/>
          <w:sz w:val="28"/>
          <w:szCs w:val="28"/>
        </w:rPr>
        <w:t xml:space="preserve">  Several co-op rates were incorrectly reported in the PSC’s</w:t>
      </w:r>
      <w:r>
        <w:rPr>
          <w:color w:val="000000" w:themeColor="text1"/>
          <w:sz w:val="28"/>
          <w:szCs w:val="28"/>
        </w:rPr>
        <w:t xml:space="preserve"> 2011 publication on utility statistics (“</w:t>
      </w:r>
      <w:r>
        <w:rPr>
          <w:i/>
          <w:color w:val="000000" w:themeColor="text1"/>
          <w:sz w:val="28"/>
          <w:szCs w:val="28"/>
        </w:rPr>
        <w:t>Facts and Figures of the Florida Utility Industry”)</w:t>
      </w:r>
      <w:r>
        <w:rPr>
          <w:color w:val="000000" w:themeColor="text1"/>
          <w:sz w:val="28"/>
          <w:szCs w:val="28"/>
        </w:rPr>
        <w:t>.  As approved by FECA’s Board and to ensure that this does not happen in the future, Statewide will file December rates on behalf of its members each year for inclusion in the publication.  You will receive a data request for your rates and other information from the PSC later in the new year so please indicate on the portion that refers to rates that they should use the rates provided by FECA.</w:t>
      </w:r>
    </w:p>
    <w:p w14:paraId="168F20DE" w14:textId="77777777" w:rsidR="00957EE9" w:rsidRPr="00957EE9" w:rsidRDefault="00957EE9" w:rsidP="00957EE9">
      <w:pPr>
        <w:pStyle w:val="ListParagraph"/>
        <w:spacing w:after="240"/>
        <w:rPr>
          <w:color w:val="000000" w:themeColor="text1"/>
          <w:sz w:val="28"/>
          <w:szCs w:val="28"/>
          <w:u w:val="single"/>
        </w:rPr>
      </w:pPr>
    </w:p>
    <w:p w14:paraId="16AB8110" w14:textId="150106D8" w:rsidR="009F3F48" w:rsidRPr="00695CDF" w:rsidRDefault="00911CAD" w:rsidP="00695CDF">
      <w:pPr>
        <w:pStyle w:val="ListParagraph"/>
        <w:numPr>
          <w:ilvl w:val="0"/>
          <w:numId w:val="3"/>
        </w:numPr>
        <w:spacing w:before="120" w:after="240" w:line="260" w:lineRule="atLeast"/>
        <w:jc w:val="both"/>
        <w:rPr>
          <w:rFonts w:asciiTheme="minorHAnsi" w:hAnsiTheme="minorHAnsi" w:cstheme="minorHAnsi"/>
          <w:color w:val="000000"/>
          <w:sz w:val="28"/>
          <w:szCs w:val="28"/>
        </w:rPr>
      </w:pPr>
      <w:r>
        <w:rPr>
          <w:color w:val="000000" w:themeColor="text1"/>
          <w:sz w:val="28"/>
          <w:szCs w:val="28"/>
          <w:u w:val="single"/>
        </w:rPr>
        <w:t>Emergency Management Special Needs Registry:</w:t>
      </w:r>
      <w:r>
        <w:rPr>
          <w:color w:val="000000" w:themeColor="text1"/>
          <w:sz w:val="28"/>
          <w:szCs w:val="28"/>
        </w:rPr>
        <w:t xml:space="preserve"> </w:t>
      </w:r>
      <w:r w:rsidR="004D2606">
        <w:rPr>
          <w:color w:val="000000" w:themeColor="text1"/>
          <w:sz w:val="28"/>
          <w:szCs w:val="28"/>
        </w:rPr>
        <w:t xml:space="preserve"> </w:t>
      </w:r>
      <w:r>
        <w:rPr>
          <w:color w:val="000000" w:themeColor="text1"/>
          <w:sz w:val="28"/>
          <w:szCs w:val="28"/>
        </w:rPr>
        <w:t xml:space="preserve">Pursuant to Section 252.355(2)(d), F.S. (attached), </w:t>
      </w:r>
      <w:r>
        <w:rPr>
          <w:sz w:val="28"/>
          <w:szCs w:val="28"/>
        </w:rPr>
        <w:t xml:space="preserve">each electric utility, on or before May 31 must </w:t>
      </w:r>
      <w:r>
        <w:rPr>
          <w:color w:val="000000"/>
          <w:sz w:val="28"/>
          <w:szCs w:val="28"/>
        </w:rPr>
        <w:t xml:space="preserve">annually notify residential customers in its service area of the availability of the special </w:t>
      </w:r>
      <w:proofErr w:type="gramStart"/>
      <w:r>
        <w:rPr>
          <w:color w:val="000000"/>
          <w:sz w:val="28"/>
          <w:szCs w:val="28"/>
        </w:rPr>
        <w:t>needs</w:t>
      </w:r>
      <w:proofErr w:type="gramEnd"/>
      <w:r>
        <w:rPr>
          <w:color w:val="000000"/>
          <w:sz w:val="28"/>
          <w:szCs w:val="28"/>
        </w:rPr>
        <w:t xml:space="preserve"> registration program available through their local emergency management agency. There are 2 ways to notify customers: 1) an initial notification upon the activation of a new residential account, followed by one annual notification between January 1 and May 31; or 2) two separate annual notifications between January 1 and May 31.  The notification may be made by any available means, including, but not limited to, written, electronic, or verbal notification.</w:t>
      </w:r>
    </w:p>
    <w:p w14:paraId="1D5E3A85" w14:textId="77777777" w:rsidR="00502632" w:rsidRPr="000B456D" w:rsidRDefault="00502632" w:rsidP="000B456D">
      <w:pPr>
        <w:pStyle w:val="ListParagraph"/>
        <w:rPr>
          <w:color w:val="000000"/>
          <w:sz w:val="28"/>
          <w:szCs w:val="28"/>
          <w:u w:val="single"/>
        </w:rPr>
      </w:pPr>
    </w:p>
    <w:p w14:paraId="513FC669" w14:textId="290F2D93" w:rsidR="009F3F48" w:rsidRDefault="009F3F48" w:rsidP="00957EE9">
      <w:pPr>
        <w:pStyle w:val="ListParagraph"/>
        <w:numPr>
          <w:ilvl w:val="0"/>
          <w:numId w:val="3"/>
        </w:numPr>
        <w:spacing w:before="120" w:after="240" w:line="260" w:lineRule="atLeast"/>
        <w:jc w:val="both"/>
        <w:rPr>
          <w:color w:val="000000"/>
          <w:sz w:val="28"/>
          <w:szCs w:val="28"/>
        </w:rPr>
      </w:pPr>
      <w:r w:rsidRPr="000B456D">
        <w:rPr>
          <w:color w:val="000000"/>
          <w:sz w:val="28"/>
          <w:szCs w:val="28"/>
          <w:u w:val="single"/>
        </w:rPr>
        <w:lastRenderedPageBreak/>
        <w:t>Tariffs:</w:t>
      </w:r>
      <w:r w:rsidRPr="000B456D">
        <w:rPr>
          <w:color w:val="000000"/>
          <w:sz w:val="28"/>
          <w:szCs w:val="28"/>
        </w:rPr>
        <w:t xml:space="preserve"> </w:t>
      </w:r>
      <w:r w:rsidR="004D2606">
        <w:rPr>
          <w:color w:val="000000"/>
          <w:sz w:val="28"/>
          <w:szCs w:val="28"/>
        </w:rPr>
        <w:t xml:space="preserve"> </w:t>
      </w:r>
      <w:r w:rsidRPr="000B456D">
        <w:rPr>
          <w:color w:val="000000"/>
          <w:sz w:val="28"/>
          <w:szCs w:val="28"/>
        </w:rPr>
        <w:t xml:space="preserve">Pursuant to </w:t>
      </w:r>
      <w:r>
        <w:rPr>
          <w:color w:val="000000"/>
          <w:sz w:val="28"/>
          <w:szCs w:val="28"/>
        </w:rPr>
        <w:t xml:space="preserve">Rule </w:t>
      </w:r>
      <w:r w:rsidRPr="009F3F48">
        <w:rPr>
          <w:color w:val="000000"/>
          <w:sz w:val="28"/>
          <w:szCs w:val="28"/>
        </w:rPr>
        <w:t xml:space="preserve">25-9.004 </w:t>
      </w:r>
      <w:r w:rsidRPr="000B456D">
        <w:rPr>
          <w:color w:val="000000"/>
          <w:sz w:val="28"/>
          <w:szCs w:val="28"/>
        </w:rPr>
        <w:t xml:space="preserve">electric cooperatives must file </w:t>
      </w:r>
      <w:r>
        <w:rPr>
          <w:color w:val="000000"/>
          <w:sz w:val="28"/>
          <w:szCs w:val="28"/>
        </w:rPr>
        <w:t>all</w:t>
      </w:r>
      <w:r w:rsidRPr="000B456D">
        <w:rPr>
          <w:color w:val="000000"/>
          <w:sz w:val="28"/>
          <w:szCs w:val="28"/>
        </w:rPr>
        <w:t xml:space="preserve"> </w:t>
      </w:r>
      <w:r w:rsidRPr="009F3F48">
        <w:rPr>
          <w:color w:val="000000"/>
          <w:sz w:val="28"/>
          <w:szCs w:val="28"/>
        </w:rPr>
        <w:t xml:space="preserve">tariffs, as well as any supplements, revisions, modifications, or </w:t>
      </w:r>
      <w:r w:rsidRPr="000B456D">
        <w:rPr>
          <w:color w:val="000000"/>
          <w:sz w:val="28"/>
          <w:szCs w:val="28"/>
        </w:rPr>
        <w:t xml:space="preserve">changes with the PSC no later than 30 days before implementation. The PSC staff has authority to approve </w:t>
      </w:r>
      <w:r w:rsidR="00DD2447">
        <w:rPr>
          <w:color w:val="000000"/>
          <w:sz w:val="28"/>
          <w:szCs w:val="28"/>
        </w:rPr>
        <w:t>co-op</w:t>
      </w:r>
      <w:r w:rsidR="00DD2447" w:rsidRPr="000B456D">
        <w:rPr>
          <w:color w:val="000000"/>
          <w:sz w:val="28"/>
          <w:szCs w:val="28"/>
        </w:rPr>
        <w:t xml:space="preserve"> </w:t>
      </w:r>
      <w:r w:rsidRPr="000B456D">
        <w:rPr>
          <w:color w:val="000000"/>
          <w:sz w:val="28"/>
          <w:szCs w:val="28"/>
        </w:rPr>
        <w:t>tariffs administratively as long as “(1) there is no change in the rate structure previously approved for that utility; (2) the change results in the rate relationships moving closer to those approved for the investor-owned utilities; or (3) the proposal does not contain new pricing concepts.” A novel tariff could require full Commission consideration.</w:t>
      </w:r>
      <w:r w:rsidR="00502632">
        <w:rPr>
          <w:color w:val="000000"/>
          <w:sz w:val="28"/>
          <w:szCs w:val="28"/>
        </w:rPr>
        <w:t xml:space="preserve"> (Note: this rule </w:t>
      </w:r>
      <w:r w:rsidR="00DD2447">
        <w:rPr>
          <w:color w:val="000000"/>
          <w:sz w:val="28"/>
          <w:szCs w:val="28"/>
        </w:rPr>
        <w:t xml:space="preserve">has </w:t>
      </w:r>
      <w:r w:rsidR="00502632">
        <w:rPr>
          <w:color w:val="000000"/>
          <w:sz w:val="28"/>
          <w:szCs w:val="28"/>
        </w:rPr>
        <w:t>been in place for many years and has typically been fulfilled by co-op engineering or safety staff. There has been no change or new emphasis, but it is being added to this memorandum for completeness. If you have questions about this requirement, please contact Forrest@FECA.com)</w:t>
      </w:r>
    </w:p>
    <w:p w14:paraId="01AEDB94" w14:textId="77777777" w:rsidR="009F3F48" w:rsidRPr="000B456D" w:rsidRDefault="009F3F48" w:rsidP="000B456D">
      <w:pPr>
        <w:pStyle w:val="ListParagraph"/>
        <w:rPr>
          <w:color w:val="000000"/>
          <w:sz w:val="28"/>
          <w:szCs w:val="28"/>
        </w:rPr>
      </w:pPr>
    </w:p>
    <w:p w14:paraId="5D3CD471" w14:textId="1EA5F606" w:rsidR="009F3F48" w:rsidRPr="000B456D" w:rsidRDefault="008427DE" w:rsidP="00957EE9">
      <w:pPr>
        <w:pStyle w:val="ListParagraph"/>
        <w:numPr>
          <w:ilvl w:val="0"/>
          <w:numId w:val="3"/>
        </w:numPr>
        <w:spacing w:before="120" w:after="240" w:line="260" w:lineRule="atLeast"/>
        <w:jc w:val="both"/>
        <w:rPr>
          <w:color w:val="000000"/>
          <w:sz w:val="28"/>
          <w:szCs w:val="28"/>
          <w:u w:val="single"/>
        </w:rPr>
      </w:pPr>
      <w:r w:rsidRPr="008427DE">
        <w:rPr>
          <w:color w:val="000000"/>
          <w:sz w:val="28"/>
          <w:szCs w:val="28"/>
          <w:u w:val="single"/>
        </w:rPr>
        <w:t>Quarterly Reports of Work Orders and Safety Compliance</w:t>
      </w:r>
      <w:r w:rsidR="009F3F48" w:rsidRPr="000B456D">
        <w:rPr>
          <w:color w:val="000000"/>
          <w:sz w:val="28"/>
          <w:szCs w:val="28"/>
          <w:u w:val="single"/>
        </w:rPr>
        <w:t>:</w:t>
      </w:r>
      <w:r w:rsidRPr="004D2606">
        <w:rPr>
          <w:color w:val="000000"/>
          <w:sz w:val="28"/>
          <w:szCs w:val="28"/>
        </w:rPr>
        <w:t xml:space="preserve"> </w:t>
      </w:r>
      <w:r w:rsidR="004D2606">
        <w:rPr>
          <w:color w:val="000000"/>
          <w:sz w:val="28"/>
          <w:szCs w:val="28"/>
        </w:rPr>
        <w:t xml:space="preserve"> </w:t>
      </w:r>
      <w:r w:rsidRPr="00D2559E">
        <w:rPr>
          <w:color w:val="000000"/>
          <w:sz w:val="28"/>
          <w:szCs w:val="28"/>
        </w:rPr>
        <w:t xml:space="preserve">Pursuant to </w:t>
      </w:r>
      <w:r>
        <w:rPr>
          <w:color w:val="000000"/>
          <w:sz w:val="28"/>
          <w:szCs w:val="28"/>
        </w:rPr>
        <w:t xml:space="preserve">Rule </w:t>
      </w:r>
      <w:r w:rsidRPr="008427DE">
        <w:rPr>
          <w:color w:val="000000"/>
          <w:sz w:val="28"/>
          <w:szCs w:val="28"/>
        </w:rPr>
        <w:t xml:space="preserve">25-6.0346 </w:t>
      </w:r>
      <w:r w:rsidRPr="00D2559E">
        <w:rPr>
          <w:color w:val="000000"/>
          <w:sz w:val="28"/>
          <w:szCs w:val="28"/>
        </w:rPr>
        <w:t>electric cooperatives</w:t>
      </w:r>
      <w:r>
        <w:rPr>
          <w:color w:val="000000"/>
          <w:sz w:val="28"/>
          <w:szCs w:val="28"/>
        </w:rPr>
        <w:t xml:space="preserve"> must, on a quarterly basis, submit a work order list to PSC engineering and safety staff for review and in some cases sample inspection. (Note: this rule </w:t>
      </w:r>
      <w:r w:rsidR="00DD2447">
        <w:rPr>
          <w:color w:val="000000"/>
          <w:sz w:val="28"/>
          <w:szCs w:val="28"/>
        </w:rPr>
        <w:t xml:space="preserve">has </w:t>
      </w:r>
      <w:r>
        <w:rPr>
          <w:color w:val="000000"/>
          <w:sz w:val="28"/>
          <w:szCs w:val="28"/>
        </w:rPr>
        <w:t xml:space="preserve">been in place for </w:t>
      </w:r>
      <w:r w:rsidR="00502632">
        <w:rPr>
          <w:color w:val="000000"/>
          <w:sz w:val="28"/>
          <w:szCs w:val="28"/>
        </w:rPr>
        <w:t>many</w:t>
      </w:r>
      <w:r>
        <w:rPr>
          <w:color w:val="000000"/>
          <w:sz w:val="28"/>
          <w:szCs w:val="28"/>
        </w:rPr>
        <w:t xml:space="preserve"> years and has typically been fulfilled by co-op engineering or safety staff. There has been no change or new emphasis</w:t>
      </w:r>
      <w:r w:rsidR="00502632">
        <w:rPr>
          <w:color w:val="000000"/>
          <w:sz w:val="28"/>
          <w:szCs w:val="28"/>
        </w:rPr>
        <w:t>,</w:t>
      </w:r>
      <w:r>
        <w:rPr>
          <w:color w:val="000000"/>
          <w:sz w:val="28"/>
          <w:szCs w:val="28"/>
        </w:rPr>
        <w:t xml:space="preserve"> but it is being added to this memorandum for completeness. If you have questions about this requirement, please contact Forrest@FECA.com) </w:t>
      </w:r>
    </w:p>
    <w:p w14:paraId="7A92F2ED" w14:textId="77777777" w:rsidR="008427DE" w:rsidRPr="000B456D" w:rsidRDefault="008427DE" w:rsidP="000B456D">
      <w:pPr>
        <w:pStyle w:val="ListParagraph"/>
        <w:rPr>
          <w:color w:val="000000"/>
          <w:sz w:val="28"/>
          <w:szCs w:val="28"/>
          <w:u w:val="single"/>
        </w:rPr>
      </w:pPr>
    </w:p>
    <w:p w14:paraId="14EA462D" w14:textId="29880B62" w:rsidR="008427DE" w:rsidRPr="000B456D" w:rsidRDefault="008427DE" w:rsidP="008427DE">
      <w:pPr>
        <w:pStyle w:val="ListParagraph"/>
        <w:numPr>
          <w:ilvl w:val="0"/>
          <w:numId w:val="3"/>
        </w:numPr>
        <w:spacing w:before="120" w:after="240" w:line="260" w:lineRule="atLeast"/>
        <w:jc w:val="both"/>
        <w:rPr>
          <w:color w:val="000000"/>
          <w:sz w:val="28"/>
          <w:szCs w:val="28"/>
        </w:rPr>
      </w:pPr>
      <w:r w:rsidRPr="008427DE">
        <w:rPr>
          <w:color w:val="000000"/>
          <w:sz w:val="28"/>
          <w:szCs w:val="28"/>
          <w:u w:val="single"/>
        </w:rPr>
        <w:t>Notification of Events</w:t>
      </w:r>
      <w:r>
        <w:rPr>
          <w:color w:val="000000"/>
          <w:sz w:val="28"/>
          <w:szCs w:val="28"/>
          <w:u w:val="single"/>
        </w:rPr>
        <w:t>:</w:t>
      </w:r>
      <w:r w:rsidRPr="004D2606">
        <w:rPr>
          <w:color w:val="000000"/>
          <w:sz w:val="28"/>
          <w:szCs w:val="28"/>
        </w:rPr>
        <w:t xml:space="preserve"> </w:t>
      </w:r>
      <w:r w:rsidR="004D2606">
        <w:rPr>
          <w:color w:val="000000"/>
          <w:sz w:val="28"/>
          <w:szCs w:val="28"/>
        </w:rPr>
        <w:t xml:space="preserve"> </w:t>
      </w:r>
      <w:r w:rsidRPr="00D2559E">
        <w:rPr>
          <w:color w:val="000000"/>
          <w:sz w:val="28"/>
          <w:szCs w:val="28"/>
        </w:rPr>
        <w:t xml:space="preserve">Pursuant to </w:t>
      </w:r>
      <w:r>
        <w:rPr>
          <w:color w:val="000000"/>
          <w:sz w:val="28"/>
          <w:szCs w:val="28"/>
        </w:rPr>
        <w:t xml:space="preserve">Rule </w:t>
      </w:r>
      <w:r w:rsidRPr="008427DE">
        <w:rPr>
          <w:color w:val="000000"/>
          <w:sz w:val="28"/>
          <w:szCs w:val="28"/>
        </w:rPr>
        <w:t xml:space="preserve">25-6.019 </w:t>
      </w:r>
      <w:r w:rsidRPr="00D2559E">
        <w:rPr>
          <w:color w:val="000000"/>
          <w:sz w:val="28"/>
          <w:szCs w:val="28"/>
        </w:rPr>
        <w:t>electric cooperatives</w:t>
      </w:r>
      <w:r>
        <w:rPr>
          <w:color w:val="000000"/>
          <w:sz w:val="28"/>
          <w:szCs w:val="28"/>
        </w:rPr>
        <w:t xml:space="preserve"> must notify the PSC of any event involving the electrical system which i</w:t>
      </w:r>
      <w:r w:rsidRPr="008427DE">
        <w:rPr>
          <w:color w:val="000000"/>
          <w:sz w:val="28"/>
          <w:szCs w:val="28"/>
        </w:rPr>
        <w:t xml:space="preserve">nvolves death or injury requiring hospitalization of non-utility persons, </w:t>
      </w:r>
      <w:r>
        <w:rPr>
          <w:color w:val="000000"/>
          <w:sz w:val="28"/>
          <w:szCs w:val="28"/>
        </w:rPr>
        <w:t>i</w:t>
      </w:r>
      <w:r w:rsidRPr="000B456D">
        <w:rPr>
          <w:color w:val="000000"/>
          <w:sz w:val="28"/>
          <w:szCs w:val="28"/>
        </w:rPr>
        <w:t>s significant from a safety standpoint in the judgment of the utility</w:t>
      </w:r>
      <w:r>
        <w:rPr>
          <w:color w:val="000000"/>
          <w:sz w:val="28"/>
          <w:szCs w:val="28"/>
        </w:rPr>
        <w:t>, i</w:t>
      </w:r>
      <w:r w:rsidRPr="008427DE">
        <w:rPr>
          <w:color w:val="000000"/>
          <w:sz w:val="28"/>
          <w:szCs w:val="28"/>
        </w:rPr>
        <w:t>nvolves damage to the property of others for an amount in excess of $10,000, or,</w:t>
      </w:r>
      <w:r>
        <w:rPr>
          <w:color w:val="000000"/>
          <w:sz w:val="28"/>
          <w:szCs w:val="28"/>
        </w:rPr>
        <w:t xml:space="preserve"> c</w:t>
      </w:r>
      <w:r w:rsidRPr="000B456D">
        <w:rPr>
          <w:color w:val="000000"/>
          <w:sz w:val="28"/>
          <w:szCs w:val="28"/>
        </w:rPr>
        <w:t>auses significant damage, in the judgment of the utility, to the utility’s facilities.</w:t>
      </w:r>
      <w:r w:rsidR="00502632">
        <w:rPr>
          <w:color w:val="000000"/>
          <w:sz w:val="28"/>
          <w:szCs w:val="28"/>
        </w:rPr>
        <w:t xml:space="preserve"> Reports are generally not required for extreme weather events or vehicles striking utility facilities. (Note: this rule </w:t>
      </w:r>
      <w:r w:rsidR="00DD2447">
        <w:rPr>
          <w:color w:val="000000"/>
          <w:sz w:val="28"/>
          <w:szCs w:val="28"/>
        </w:rPr>
        <w:t xml:space="preserve">has </w:t>
      </w:r>
      <w:r w:rsidR="00502632">
        <w:rPr>
          <w:color w:val="000000"/>
          <w:sz w:val="28"/>
          <w:szCs w:val="28"/>
        </w:rPr>
        <w:t>been in place for many years and has typically been fulfilled by co-op engineering or safety staff. There has been no change or new emphasis, but it is being added to this memorandum for completeness. If you have questions about this requirement, please contact Forrest@FECA.com)</w:t>
      </w:r>
    </w:p>
    <w:p w14:paraId="5D74221F" w14:textId="00CC3B35" w:rsidR="00957EE9" w:rsidRPr="00F41620" w:rsidRDefault="00BE3CA8" w:rsidP="00957EE9">
      <w:pPr>
        <w:spacing w:after="240"/>
        <w:rPr>
          <w:sz w:val="28"/>
          <w:szCs w:val="28"/>
          <w:u w:val="single"/>
        </w:rPr>
      </w:pPr>
      <w:r w:rsidRPr="00F41620">
        <w:rPr>
          <w:sz w:val="28"/>
          <w:szCs w:val="28"/>
          <w:u w:val="single"/>
        </w:rPr>
        <w:t>How to electronically file at the PSC:</w:t>
      </w:r>
    </w:p>
    <w:p w14:paraId="643A45C2" w14:textId="29B16581" w:rsidR="00F41620" w:rsidRPr="00957EE9" w:rsidRDefault="00BE3CA8" w:rsidP="00883D0F">
      <w:pPr>
        <w:spacing w:after="240"/>
        <w:jc w:val="both"/>
        <w:rPr>
          <w:b/>
          <w:sz w:val="28"/>
          <w:szCs w:val="28"/>
        </w:rPr>
      </w:pPr>
      <w:r w:rsidRPr="004F467F">
        <w:rPr>
          <w:b/>
          <w:bCs/>
          <w:sz w:val="28"/>
          <w:szCs w:val="28"/>
        </w:rPr>
        <w:t>T</w:t>
      </w:r>
      <w:r>
        <w:rPr>
          <w:b/>
          <w:sz w:val="28"/>
          <w:szCs w:val="28"/>
        </w:rPr>
        <w:t xml:space="preserve">he Commission requests that you file reports online through the Commission Clerk’s Office.  </w:t>
      </w:r>
      <w:r w:rsidRPr="00B04642">
        <w:rPr>
          <w:b/>
          <w:sz w:val="28"/>
          <w:szCs w:val="28"/>
        </w:rPr>
        <w:t>This e-filing</w:t>
      </w:r>
      <w:r>
        <w:rPr>
          <w:b/>
          <w:sz w:val="28"/>
          <w:szCs w:val="28"/>
        </w:rPr>
        <w:t xml:space="preserve"> method is available on the Commission’s website</w:t>
      </w:r>
      <w:r w:rsidR="00DD2447">
        <w:rPr>
          <w:b/>
          <w:sz w:val="28"/>
          <w:szCs w:val="28"/>
        </w:rPr>
        <w:t>.</w:t>
      </w:r>
    </w:p>
    <w:p w14:paraId="4D202C17" w14:textId="4CE0B987" w:rsidR="00BE3CA8" w:rsidRPr="00F41620" w:rsidRDefault="00F01A4F" w:rsidP="00F41620">
      <w:pPr>
        <w:rPr>
          <w:rFonts w:eastAsia="Times New Roman"/>
          <w:bCs/>
          <w:sz w:val="28"/>
          <w:szCs w:val="28"/>
        </w:rPr>
      </w:pPr>
      <w:r w:rsidRPr="00F41620">
        <w:rPr>
          <w:rFonts w:eastAsia="Times New Roman"/>
          <w:bCs/>
          <w:sz w:val="28"/>
          <w:szCs w:val="28"/>
        </w:rPr>
        <w:t>Instructions for Filing</w:t>
      </w:r>
      <w:r w:rsidR="00F41620" w:rsidRPr="00F41620">
        <w:rPr>
          <w:rFonts w:eastAsia="Times New Roman"/>
          <w:bCs/>
          <w:sz w:val="28"/>
          <w:szCs w:val="28"/>
        </w:rPr>
        <w:t>:</w:t>
      </w:r>
      <w:r w:rsidRPr="00F41620">
        <w:rPr>
          <w:bCs/>
        </w:rPr>
        <w:t xml:space="preserve"> </w:t>
      </w:r>
      <w:hyperlink r:id="rId8" w:history="1">
        <w:r w:rsidRPr="00F41620">
          <w:rPr>
            <w:rStyle w:val="Hyperlink"/>
            <w:rFonts w:eastAsia="Times New Roman"/>
            <w:bCs/>
            <w:sz w:val="28"/>
            <w:szCs w:val="28"/>
          </w:rPr>
          <w:t>https://www.psc.state.fl.us/filing-documents-electronically</w:t>
        </w:r>
      </w:hyperlink>
    </w:p>
    <w:p w14:paraId="14349E2A" w14:textId="77777777" w:rsidR="00F01A4F" w:rsidRPr="00F41620" w:rsidRDefault="00F01A4F" w:rsidP="00F41620">
      <w:pPr>
        <w:rPr>
          <w:rFonts w:eastAsia="Times New Roman"/>
          <w:bCs/>
          <w:sz w:val="28"/>
          <w:szCs w:val="28"/>
        </w:rPr>
      </w:pPr>
    </w:p>
    <w:p w14:paraId="66483A55" w14:textId="4C45AD2D" w:rsidR="00BE3CA8" w:rsidRPr="00F41620" w:rsidRDefault="00BE3CA8" w:rsidP="00F41620">
      <w:pPr>
        <w:widowControl/>
        <w:autoSpaceDE/>
        <w:adjustRightInd/>
        <w:rPr>
          <w:rFonts w:eastAsia="Times New Roman"/>
          <w:bCs/>
          <w:sz w:val="28"/>
          <w:szCs w:val="28"/>
        </w:rPr>
      </w:pPr>
      <w:r w:rsidRPr="00F41620">
        <w:rPr>
          <w:rFonts w:eastAsia="Times New Roman"/>
          <w:bCs/>
          <w:sz w:val="28"/>
          <w:szCs w:val="28"/>
        </w:rPr>
        <w:t>Electronic Filing Form</w:t>
      </w:r>
      <w:r w:rsidR="00F41620" w:rsidRPr="00F41620">
        <w:rPr>
          <w:rFonts w:eastAsia="Times New Roman"/>
          <w:bCs/>
          <w:sz w:val="28"/>
          <w:szCs w:val="28"/>
        </w:rPr>
        <w:t xml:space="preserve">: </w:t>
      </w:r>
      <w:hyperlink r:id="rId9" w:history="1">
        <w:r w:rsidR="00F41620" w:rsidRPr="00F41620">
          <w:rPr>
            <w:rStyle w:val="Hyperlink"/>
            <w:rFonts w:eastAsia="Times New Roman"/>
            <w:bCs/>
            <w:sz w:val="28"/>
            <w:szCs w:val="28"/>
          </w:rPr>
          <w:t>https://secure.floridapsc.com/ClerkOffice/EfilingPublic</w:t>
        </w:r>
      </w:hyperlink>
    </w:p>
    <w:sectPr w:rsidR="00BE3CA8" w:rsidRPr="00F416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DFD8D" w14:textId="77777777" w:rsidR="005E0A1B" w:rsidRDefault="005E0A1B" w:rsidP="0057358F">
      <w:r>
        <w:separator/>
      </w:r>
    </w:p>
  </w:endnote>
  <w:endnote w:type="continuationSeparator" w:id="0">
    <w:p w14:paraId="11BC64B1" w14:textId="77777777" w:rsidR="005E0A1B" w:rsidRDefault="005E0A1B" w:rsidP="0057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11622" w14:textId="77777777" w:rsidR="005E0A1B" w:rsidRDefault="005E0A1B" w:rsidP="0057358F">
      <w:r>
        <w:separator/>
      </w:r>
    </w:p>
  </w:footnote>
  <w:footnote w:type="continuationSeparator" w:id="0">
    <w:p w14:paraId="16782AEB" w14:textId="77777777" w:rsidR="005E0A1B" w:rsidRDefault="005E0A1B" w:rsidP="00573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860B1"/>
    <w:multiLevelType w:val="hybridMultilevel"/>
    <w:tmpl w:val="D5F49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B827C3"/>
    <w:multiLevelType w:val="hybridMultilevel"/>
    <w:tmpl w:val="4872BB8E"/>
    <w:lvl w:ilvl="0" w:tplc="EDA090E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402097"/>
    <w:multiLevelType w:val="hybridMultilevel"/>
    <w:tmpl w:val="CF860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22A26C5"/>
    <w:multiLevelType w:val="hybridMultilevel"/>
    <w:tmpl w:val="0EB20EAC"/>
    <w:lvl w:ilvl="0" w:tplc="2528F2AA">
      <w:start w:val="1"/>
      <w:numFmt w:val="decimal"/>
      <w:lvlText w:val="%1."/>
      <w:lvlJc w:val="left"/>
      <w:pPr>
        <w:ind w:left="99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33510021">
    <w:abstractNumId w:val="2"/>
  </w:num>
  <w:num w:numId="2" w16cid:durableId="144442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583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5373914">
    <w:abstractNumId w:val="0"/>
  </w:num>
  <w:num w:numId="5" w16cid:durableId="1242522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AD"/>
    <w:rsid w:val="0007171C"/>
    <w:rsid w:val="000B0CB9"/>
    <w:rsid w:val="000B456D"/>
    <w:rsid w:val="00185DB2"/>
    <w:rsid w:val="002554C6"/>
    <w:rsid w:val="002E1189"/>
    <w:rsid w:val="002E1A8E"/>
    <w:rsid w:val="00422F44"/>
    <w:rsid w:val="00443DCC"/>
    <w:rsid w:val="004D2606"/>
    <w:rsid w:val="004E2134"/>
    <w:rsid w:val="004F467F"/>
    <w:rsid w:val="00502632"/>
    <w:rsid w:val="0057358F"/>
    <w:rsid w:val="005E0A1B"/>
    <w:rsid w:val="005F30A5"/>
    <w:rsid w:val="00695CDF"/>
    <w:rsid w:val="007A6D90"/>
    <w:rsid w:val="008427DE"/>
    <w:rsid w:val="00883D0F"/>
    <w:rsid w:val="008A3B0C"/>
    <w:rsid w:val="00911CAD"/>
    <w:rsid w:val="00921ED1"/>
    <w:rsid w:val="00925FE0"/>
    <w:rsid w:val="00957EE9"/>
    <w:rsid w:val="009F3F48"/>
    <w:rsid w:val="00B04642"/>
    <w:rsid w:val="00B612AF"/>
    <w:rsid w:val="00B90AB3"/>
    <w:rsid w:val="00BE3CA8"/>
    <w:rsid w:val="00BE6685"/>
    <w:rsid w:val="00BF6256"/>
    <w:rsid w:val="00C03E2B"/>
    <w:rsid w:val="00CF1636"/>
    <w:rsid w:val="00D02CF5"/>
    <w:rsid w:val="00D225D1"/>
    <w:rsid w:val="00D24C97"/>
    <w:rsid w:val="00D54DA7"/>
    <w:rsid w:val="00D57CC4"/>
    <w:rsid w:val="00D954DD"/>
    <w:rsid w:val="00DC7296"/>
    <w:rsid w:val="00DD2447"/>
    <w:rsid w:val="00EF2389"/>
    <w:rsid w:val="00F01A4F"/>
    <w:rsid w:val="00F17E6A"/>
    <w:rsid w:val="00F31C1D"/>
    <w:rsid w:val="00F41620"/>
    <w:rsid w:val="00F7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96E82"/>
  <w15:chartTrackingRefBased/>
  <w15:docId w15:val="{CF2E6A14-DA5A-4F37-9E95-E188CEDF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A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CAD"/>
    <w:rPr>
      <w:color w:val="0000FF"/>
      <w:u w:val="single"/>
    </w:rPr>
  </w:style>
  <w:style w:type="paragraph" w:styleId="ListParagraph">
    <w:name w:val="List Paragraph"/>
    <w:basedOn w:val="Normal"/>
    <w:uiPriority w:val="34"/>
    <w:qFormat/>
    <w:rsid w:val="00911CAD"/>
    <w:pPr>
      <w:ind w:left="720"/>
      <w:contextualSpacing/>
    </w:pPr>
  </w:style>
  <w:style w:type="paragraph" w:styleId="Header">
    <w:name w:val="header"/>
    <w:basedOn w:val="Normal"/>
    <w:link w:val="HeaderChar"/>
    <w:uiPriority w:val="99"/>
    <w:unhideWhenUsed/>
    <w:rsid w:val="0057358F"/>
    <w:pPr>
      <w:tabs>
        <w:tab w:val="center" w:pos="4680"/>
        <w:tab w:val="right" w:pos="9360"/>
      </w:tabs>
    </w:pPr>
  </w:style>
  <w:style w:type="character" w:customStyle="1" w:styleId="HeaderChar">
    <w:name w:val="Header Char"/>
    <w:basedOn w:val="DefaultParagraphFont"/>
    <w:link w:val="Header"/>
    <w:uiPriority w:val="99"/>
    <w:rsid w:val="0057358F"/>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7358F"/>
    <w:pPr>
      <w:tabs>
        <w:tab w:val="center" w:pos="4680"/>
        <w:tab w:val="right" w:pos="9360"/>
      </w:tabs>
    </w:pPr>
  </w:style>
  <w:style w:type="character" w:customStyle="1" w:styleId="FooterChar">
    <w:name w:val="Footer Char"/>
    <w:basedOn w:val="DefaultParagraphFont"/>
    <w:link w:val="Footer"/>
    <w:uiPriority w:val="99"/>
    <w:rsid w:val="0057358F"/>
    <w:rPr>
      <w:rFonts w:ascii="Times New Roman" w:eastAsiaTheme="minorEastAsia" w:hAnsi="Times New Roman" w:cs="Times New Roman"/>
      <w:sz w:val="24"/>
      <w:szCs w:val="24"/>
    </w:rPr>
  </w:style>
  <w:style w:type="table" w:styleId="TableGrid">
    <w:name w:val="Table Grid"/>
    <w:basedOn w:val="TableNormal"/>
    <w:uiPriority w:val="39"/>
    <w:rsid w:val="00DC7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C7296"/>
    <w:pPr>
      <w:widowControl/>
      <w:autoSpaceDE/>
      <w:autoSpaceDN/>
      <w:adjustRightInd/>
      <w:contextualSpacing/>
    </w:pPr>
    <w:rPr>
      <w:rFonts w:eastAsiaTheme="majorEastAsia" w:cstheme="majorBidi"/>
      <w:color w:val="5B9BD5" w:themeColor="accent5"/>
      <w:spacing w:val="-10"/>
      <w:kern w:val="28"/>
      <w:sz w:val="44"/>
      <w:szCs w:val="56"/>
    </w:rPr>
  </w:style>
  <w:style w:type="character" w:customStyle="1" w:styleId="TitleChar">
    <w:name w:val="Title Char"/>
    <w:basedOn w:val="DefaultParagraphFont"/>
    <w:link w:val="Title"/>
    <w:uiPriority w:val="10"/>
    <w:rsid w:val="00DC7296"/>
    <w:rPr>
      <w:rFonts w:ascii="Times New Roman" w:eastAsiaTheme="majorEastAsia" w:hAnsi="Times New Roman" w:cstheme="majorBidi"/>
      <w:color w:val="5B9BD5" w:themeColor="accent5"/>
      <w:spacing w:val="-10"/>
      <w:kern w:val="28"/>
      <w:sz w:val="44"/>
      <w:szCs w:val="56"/>
    </w:rPr>
  </w:style>
  <w:style w:type="character" w:styleId="UnresolvedMention">
    <w:name w:val="Unresolved Mention"/>
    <w:basedOn w:val="DefaultParagraphFont"/>
    <w:uiPriority w:val="99"/>
    <w:semiHidden/>
    <w:unhideWhenUsed/>
    <w:rsid w:val="00F01A4F"/>
    <w:rPr>
      <w:color w:val="605E5C"/>
      <w:shd w:val="clear" w:color="auto" w:fill="E1DFDD"/>
    </w:rPr>
  </w:style>
  <w:style w:type="paragraph" w:styleId="Revision">
    <w:name w:val="Revision"/>
    <w:hidden/>
    <w:uiPriority w:val="99"/>
    <w:semiHidden/>
    <w:rsid w:val="002E1189"/>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6958">
      <w:bodyDiv w:val="1"/>
      <w:marLeft w:val="0"/>
      <w:marRight w:val="0"/>
      <w:marTop w:val="0"/>
      <w:marBottom w:val="0"/>
      <w:divBdr>
        <w:top w:val="none" w:sz="0" w:space="0" w:color="auto"/>
        <w:left w:val="none" w:sz="0" w:space="0" w:color="auto"/>
        <w:bottom w:val="none" w:sz="0" w:space="0" w:color="auto"/>
        <w:right w:val="none" w:sz="0" w:space="0" w:color="auto"/>
      </w:divBdr>
    </w:div>
    <w:div w:id="200048574">
      <w:bodyDiv w:val="1"/>
      <w:marLeft w:val="0"/>
      <w:marRight w:val="0"/>
      <w:marTop w:val="0"/>
      <w:marBottom w:val="0"/>
      <w:divBdr>
        <w:top w:val="none" w:sz="0" w:space="0" w:color="auto"/>
        <w:left w:val="none" w:sz="0" w:space="0" w:color="auto"/>
        <w:bottom w:val="none" w:sz="0" w:space="0" w:color="auto"/>
        <w:right w:val="none" w:sz="0" w:space="0" w:color="auto"/>
      </w:divBdr>
    </w:div>
    <w:div w:id="927469878">
      <w:bodyDiv w:val="1"/>
      <w:marLeft w:val="0"/>
      <w:marRight w:val="0"/>
      <w:marTop w:val="0"/>
      <w:marBottom w:val="0"/>
      <w:divBdr>
        <w:top w:val="none" w:sz="0" w:space="0" w:color="auto"/>
        <w:left w:val="none" w:sz="0" w:space="0" w:color="auto"/>
        <w:bottom w:val="none" w:sz="0" w:space="0" w:color="auto"/>
        <w:right w:val="none" w:sz="0" w:space="0" w:color="auto"/>
      </w:divBdr>
    </w:div>
    <w:div w:id="17517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state.fl.us/filing-documents-electronicall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cure.floridapsc.com/ClerkOffice/Efiling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hershel</dc:creator>
  <cp:keywords/>
  <dc:description/>
  <cp:lastModifiedBy>Forrest Boone</cp:lastModifiedBy>
  <cp:revision>2</cp:revision>
  <cp:lastPrinted>2024-12-16T20:02:00Z</cp:lastPrinted>
  <dcterms:created xsi:type="dcterms:W3CDTF">2024-12-16T20:50:00Z</dcterms:created>
  <dcterms:modified xsi:type="dcterms:W3CDTF">2024-12-16T20:50:00Z</dcterms:modified>
</cp:coreProperties>
</file>