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A919" w14:textId="77777777" w:rsidR="003D544F" w:rsidRPr="008D1636" w:rsidRDefault="003D544F" w:rsidP="005A2EB8">
      <w:pPr>
        <w:sectPr w:rsidR="003D544F" w:rsidRPr="008D1636" w:rsidSect="00A5359B">
          <w:headerReference w:type="default" r:id="rId11"/>
          <w:footerReference w:type="default" r:id="rId12"/>
          <w:headerReference w:type="first" r:id="rId13"/>
          <w:footerReference w:type="first" r:id="rId14"/>
          <w:pgSz w:w="12240" w:h="15840" w:code="1"/>
          <w:pgMar w:top="1080" w:right="1080" w:bottom="1080" w:left="1080" w:header="720" w:footer="720" w:gutter="0"/>
          <w:cols w:space="720"/>
          <w:titlePg/>
          <w:docGrid w:linePitch="360"/>
        </w:sectPr>
      </w:pPr>
    </w:p>
    <w:p w14:paraId="5913A91A" w14:textId="77777777" w:rsidR="003D544F" w:rsidRPr="00D93BA5" w:rsidRDefault="003D544F" w:rsidP="005A2EB8"/>
    <w:p w14:paraId="7ADEA07B" w14:textId="77777777" w:rsidR="006317A6" w:rsidRPr="00D93BA5" w:rsidRDefault="006317A6"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March 27, 2023</w:t>
      </w:r>
    </w:p>
    <w:p w14:paraId="49BF781C" w14:textId="77777777" w:rsidR="006317A6" w:rsidRPr="00D93BA5" w:rsidRDefault="006317A6" w:rsidP="006317A6">
      <w:pPr>
        <w:pStyle w:val="NoSpacing"/>
        <w:rPr>
          <w:rFonts w:ascii="Times New Roman" w:hAnsi="Times New Roman" w:cs="Times New Roman"/>
          <w:sz w:val="24"/>
          <w:szCs w:val="24"/>
        </w:rPr>
      </w:pPr>
    </w:p>
    <w:p w14:paraId="516F9387" w14:textId="610BC306" w:rsidR="006317A6" w:rsidRPr="00D93BA5" w:rsidRDefault="006317A6"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 xml:space="preserve">Submitted via </w:t>
      </w:r>
      <w:hyperlink r:id="rId15" w:history="1">
        <w:r w:rsidRPr="00D93BA5">
          <w:rPr>
            <w:rStyle w:val="Hyperlink"/>
            <w:rFonts w:ascii="Times New Roman" w:hAnsi="Times New Roman" w:cs="Times New Roman"/>
            <w:sz w:val="24"/>
            <w:szCs w:val="24"/>
          </w:rPr>
          <w:t>www.regulations.gov</w:t>
        </w:r>
      </w:hyperlink>
      <w:r w:rsidRPr="00D93BA5">
        <w:rPr>
          <w:rFonts w:ascii="Times New Roman" w:hAnsi="Times New Roman" w:cs="Times New Roman"/>
          <w:sz w:val="24"/>
          <w:szCs w:val="24"/>
        </w:rPr>
        <w:t xml:space="preserve"> </w:t>
      </w:r>
    </w:p>
    <w:p w14:paraId="407B7537" w14:textId="77777777" w:rsidR="006317A6" w:rsidRPr="00D93BA5" w:rsidRDefault="006317A6" w:rsidP="006317A6">
      <w:pPr>
        <w:pStyle w:val="NoSpacing"/>
        <w:rPr>
          <w:rFonts w:ascii="Times New Roman" w:hAnsi="Times New Roman" w:cs="Times New Roman"/>
          <w:sz w:val="24"/>
          <w:szCs w:val="24"/>
        </w:rPr>
      </w:pPr>
    </w:p>
    <w:p w14:paraId="5B4C8A48" w14:textId="77777777" w:rsidR="006317A6" w:rsidRPr="00D93BA5" w:rsidRDefault="006317A6" w:rsidP="006317A6">
      <w:pPr>
        <w:pStyle w:val="NoSpacing"/>
        <w:ind w:left="720" w:hanging="720"/>
        <w:rPr>
          <w:rFonts w:ascii="Times New Roman" w:hAnsi="Times New Roman" w:cs="Times New Roman"/>
          <w:b/>
          <w:bCs/>
          <w:sz w:val="24"/>
          <w:szCs w:val="24"/>
        </w:rPr>
      </w:pPr>
      <w:r w:rsidRPr="00D93BA5">
        <w:rPr>
          <w:rFonts w:ascii="Times New Roman" w:hAnsi="Times New Roman" w:cs="Times New Roman"/>
          <w:b/>
          <w:bCs/>
          <w:sz w:val="24"/>
          <w:szCs w:val="24"/>
        </w:rPr>
        <w:t xml:space="preserve">RE: </w:t>
      </w:r>
      <w:r w:rsidRPr="00D93BA5">
        <w:rPr>
          <w:rFonts w:ascii="Times New Roman" w:hAnsi="Times New Roman" w:cs="Times New Roman"/>
          <w:b/>
          <w:bCs/>
          <w:sz w:val="24"/>
          <w:szCs w:val="24"/>
        </w:rPr>
        <w:tab/>
        <w:t>Energy Conservation Program: Energy Conservation Standards for Distribution Transformers [EERE-2019-BT-STD-0018]</w:t>
      </w:r>
    </w:p>
    <w:p w14:paraId="2261DB0D" w14:textId="77777777" w:rsidR="006317A6" w:rsidRPr="00D93BA5" w:rsidRDefault="006317A6" w:rsidP="006317A6">
      <w:pPr>
        <w:pStyle w:val="NoSpacing"/>
        <w:rPr>
          <w:rFonts w:ascii="Times New Roman" w:hAnsi="Times New Roman" w:cs="Times New Roman"/>
          <w:sz w:val="24"/>
          <w:szCs w:val="24"/>
        </w:rPr>
      </w:pPr>
    </w:p>
    <w:p w14:paraId="1F1D54F8" w14:textId="77777777" w:rsidR="006317A6" w:rsidRPr="00D93BA5" w:rsidRDefault="006317A6" w:rsidP="006317A6">
      <w:pPr>
        <w:pStyle w:val="NoSpacing"/>
        <w:rPr>
          <w:rFonts w:ascii="Times New Roman" w:hAnsi="Times New Roman" w:cs="Times New Roman"/>
          <w:sz w:val="24"/>
          <w:szCs w:val="24"/>
        </w:rPr>
      </w:pPr>
    </w:p>
    <w:p w14:paraId="4351805D" w14:textId="77777777" w:rsidR="006317A6" w:rsidRPr="00D93BA5" w:rsidRDefault="006317A6"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 xml:space="preserve">To Whom It May Concern: </w:t>
      </w:r>
    </w:p>
    <w:p w14:paraId="28B65A8F" w14:textId="77777777" w:rsidR="006317A6" w:rsidRPr="00D93BA5" w:rsidRDefault="006317A6" w:rsidP="006317A6">
      <w:pPr>
        <w:pStyle w:val="NoSpacing"/>
        <w:rPr>
          <w:rFonts w:ascii="Times New Roman" w:hAnsi="Times New Roman" w:cs="Times New Roman"/>
          <w:sz w:val="24"/>
          <w:szCs w:val="24"/>
        </w:rPr>
      </w:pPr>
    </w:p>
    <w:p w14:paraId="76BCF391" w14:textId="77777777" w:rsidR="006317A6" w:rsidRPr="00D93BA5" w:rsidRDefault="006317A6"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The National Rural Electric Cooperative Association (NRECA) respectfully submits the following comments to the U.S. Department of Energy (DOE) in response to its notice of proposed rulemaking (NOPR) on Energy Conservation Standards for Distribution Transformers (EERE-2019-BT-STD-0018).</w:t>
      </w:r>
    </w:p>
    <w:p w14:paraId="49D8F6CA" w14:textId="77777777" w:rsidR="006317A6" w:rsidRPr="00D93BA5" w:rsidRDefault="006317A6" w:rsidP="006317A6">
      <w:pPr>
        <w:pStyle w:val="NoSpacing"/>
        <w:rPr>
          <w:rFonts w:ascii="Times New Roman" w:hAnsi="Times New Roman" w:cs="Times New Roman"/>
          <w:sz w:val="24"/>
          <w:szCs w:val="24"/>
        </w:rPr>
      </w:pPr>
    </w:p>
    <w:p w14:paraId="0C0E451A" w14:textId="77777777" w:rsidR="006317A6" w:rsidRPr="00D93BA5" w:rsidRDefault="006317A6" w:rsidP="006317A6">
      <w:r w:rsidRPr="00D93BA5">
        <w:t xml:space="preserve">NRECA is the national trade association representing nearly 900 local electric cooperatives and other rural electric utilities. America’s electric cooperatives are owned by the people that they serve and comprise a unique sector of the electric industry. From growing regions to remote farming communities, electric cooperatives power 1 in 8 Americans and serve as engines of economic development for 42 million Americans across 56 percent of the nation’s landscape. </w:t>
      </w:r>
    </w:p>
    <w:p w14:paraId="1A7DB025" w14:textId="77777777" w:rsidR="006317A6" w:rsidRPr="00D93BA5" w:rsidRDefault="006317A6" w:rsidP="006317A6"/>
    <w:p w14:paraId="62DB29AC" w14:textId="77777777" w:rsidR="006317A6" w:rsidRPr="00D93BA5" w:rsidRDefault="006317A6" w:rsidP="006317A6">
      <w:r w:rsidRPr="00D93BA5">
        <w:t xml:space="preserve">Electric cooperatives operate at cost and without a profit incentive. NRECA’s member cooperatives include 62 generation and transmission (G&amp;T) cooperatives and 831 distribution cooperatives. The G&amp;Ts generate and transmit power to distribution cooperatives that provide it to the end of line co-op consumer-members. Collectively, cooperative G&amp;Ts generate and transmit power to nearly 80 percent of the distribution cooperatives in the nation. The remaining distribution cooperatives receive power directly from other generation sources within the electric utility sector. Both distribution and G&amp;T cooperatives share an obligation to serve their members by providing safe, reliable, and affordable electric service. </w:t>
      </w:r>
    </w:p>
    <w:p w14:paraId="12C6CB97" w14:textId="77777777" w:rsidR="006317A6" w:rsidRPr="00D93BA5" w:rsidRDefault="006317A6" w:rsidP="006317A6">
      <w:pPr>
        <w:pStyle w:val="NoSpacing"/>
        <w:rPr>
          <w:rFonts w:ascii="Times New Roman" w:hAnsi="Times New Roman" w:cs="Times New Roman"/>
          <w:sz w:val="24"/>
          <w:szCs w:val="24"/>
        </w:rPr>
      </w:pPr>
    </w:p>
    <w:p w14:paraId="2D302BFB" w14:textId="4093D5BA" w:rsidR="006317A6" w:rsidRPr="00D93BA5" w:rsidRDefault="0050276A"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Electric cooperatives have a long history of supporting energy efficiency</w:t>
      </w:r>
      <w:r w:rsidR="00611074" w:rsidRPr="00D93BA5">
        <w:rPr>
          <w:rFonts w:ascii="Times New Roman" w:hAnsi="Times New Roman" w:cs="Times New Roman"/>
          <w:sz w:val="24"/>
          <w:szCs w:val="24"/>
        </w:rPr>
        <w:t xml:space="preserve"> and are committed to finding cost-effective solutions that help their consumer-members save money. </w:t>
      </w:r>
      <w:r w:rsidRPr="00D93BA5">
        <w:rPr>
          <w:rFonts w:ascii="Times New Roman" w:hAnsi="Times New Roman" w:cs="Times New Roman"/>
          <w:sz w:val="24"/>
          <w:szCs w:val="24"/>
        </w:rPr>
        <w:t xml:space="preserve">Given that cooperatives are cost-based any new costs borne by the cooperative must ultimately be passed to the end-of-the-line consumer. </w:t>
      </w:r>
      <w:r w:rsidR="00C60982" w:rsidRPr="00D93BA5">
        <w:rPr>
          <w:rFonts w:ascii="Times New Roman" w:hAnsi="Times New Roman" w:cs="Times New Roman"/>
          <w:sz w:val="24"/>
          <w:szCs w:val="24"/>
        </w:rPr>
        <w:t>As such, c</w:t>
      </w:r>
      <w:r w:rsidRPr="00D93BA5">
        <w:rPr>
          <w:rFonts w:ascii="Times New Roman" w:hAnsi="Times New Roman" w:cs="Times New Roman"/>
          <w:sz w:val="24"/>
          <w:szCs w:val="24"/>
        </w:rPr>
        <w:t xml:space="preserve">ooperatives </w:t>
      </w:r>
      <w:r w:rsidR="00C60982" w:rsidRPr="00D93BA5">
        <w:rPr>
          <w:rFonts w:ascii="Times New Roman" w:hAnsi="Times New Roman" w:cs="Times New Roman"/>
          <w:sz w:val="24"/>
          <w:szCs w:val="24"/>
        </w:rPr>
        <w:t xml:space="preserve">actively seek out ways </w:t>
      </w:r>
      <w:r w:rsidRPr="00D93BA5">
        <w:rPr>
          <w:rFonts w:ascii="Times New Roman" w:hAnsi="Times New Roman" w:cs="Times New Roman"/>
          <w:sz w:val="24"/>
          <w:szCs w:val="24"/>
        </w:rPr>
        <w:t xml:space="preserve">to </w:t>
      </w:r>
      <w:r w:rsidR="00C60982" w:rsidRPr="00D93BA5">
        <w:rPr>
          <w:rFonts w:ascii="Times New Roman" w:hAnsi="Times New Roman" w:cs="Times New Roman"/>
          <w:sz w:val="24"/>
          <w:szCs w:val="24"/>
        </w:rPr>
        <w:t xml:space="preserve">save </w:t>
      </w:r>
      <w:r w:rsidRPr="00D93BA5">
        <w:rPr>
          <w:rFonts w:ascii="Times New Roman" w:hAnsi="Times New Roman" w:cs="Times New Roman"/>
          <w:sz w:val="24"/>
          <w:szCs w:val="24"/>
        </w:rPr>
        <w:t xml:space="preserve">energy and pass those savings on to their consumer-members </w:t>
      </w:r>
      <w:r w:rsidR="00C60982" w:rsidRPr="00D93BA5">
        <w:rPr>
          <w:rFonts w:ascii="Times New Roman" w:hAnsi="Times New Roman" w:cs="Times New Roman"/>
          <w:sz w:val="24"/>
          <w:szCs w:val="24"/>
        </w:rPr>
        <w:t>as part of their commitment to affordable and reliable electric service</w:t>
      </w:r>
      <w:r w:rsidRPr="00D93BA5">
        <w:rPr>
          <w:rFonts w:ascii="Times New Roman" w:hAnsi="Times New Roman" w:cs="Times New Roman"/>
          <w:sz w:val="24"/>
          <w:szCs w:val="24"/>
        </w:rPr>
        <w:t xml:space="preserve">. </w:t>
      </w:r>
    </w:p>
    <w:p w14:paraId="2A6A19FD" w14:textId="77777777" w:rsidR="0050276A" w:rsidRPr="00D93BA5" w:rsidRDefault="0050276A" w:rsidP="006317A6">
      <w:pPr>
        <w:pStyle w:val="NoSpacing"/>
        <w:rPr>
          <w:rFonts w:ascii="Times New Roman" w:hAnsi="Times New Roman" w:cs="Times New Roman"/>
          <w:sz w:val="24"/>
          <w:szCs w:val="24"/>
        </w:rPr>
      </w:pPr>
    </w:p>
    <w:p w14:paraId="5EC96434" w14:textId="378BBF6B" w:rsidR="009D27E1" w:rsidRPr="00D93BA5" w:rsidRDefault="006317A6" w:rsidP="009D27E1">
      <w:r w:rsidRPr="00D93BA5">
        <w:t xml:space="preserve">Our members are some of the primary consumers of distribution transformers </w:t>
      </w:r>
      <w:r w:rsidR="0050276A" w:rsidRPr="00D93BA5">
        <w:t>and thus we have a vital stake in the outcome of this rulemaking. I</w:t>
      </w:r>
      <w:r w:rsidRPr="00D93BA5">
        <w:t xml:space="preserve">f this proposal is implemented as currently contemplated, it would have serious consequences to </w:t>
      </w:r>
      <w:r w:rsidR="00C01536" w:rsidRPr="00D93BA5">
        <w:t xml:space="preserve">NRECA members’ </w:t>
      </w:r>
      <w:r w:rsidRPr="00D93BA5">
        <w:t>ability to provide affordable, reliable electric service to millions of Americans. We urge the agency to reconsider the NOPR as currently</w:t>
      </w:r>
      <w:r w:rsidR="0050276A" w:rsidRPr="00D93BA5">
        <w:t xml:space="preserve"> drafted, and to issue a final rule that </w:t>
      </w:r>
      <w:r w:rsidR="00611074" w:rsidRPr="00D93BA5">
        <w:t>maintains</w:t>
      </w:r>
      <w:r w:rsidR="0050276A" w:rsidRPr="00D93BA5">
        <w:t xml:space="preserve"> the current standard. Contrary to DOE’s assertion</w:t>
      </w:r>
      <w:r w:rsidR="00611074" w:rsidRPr="00D93BA5">
        <w:t>s</w:t>
      </w:r>
      <w:r w:rsidR="0050276A" w:rsidRPr="00D93BA5">
        <w:t>, the NOPR does not meet the Energy Policy and Conservation Act’s (EPCA)</w:t>
      </w:r>
      <w:r w:rsidR="00611074" w:rsidRPr="00D93BA5">
        <w:t xml:space="preserve"> requirements </w:t>
      </w:r>
      <w:r w:rsidR="00280003" w:rsidRPr="00D93BA5">
        <w:t>that the standard be both</w:t>
      </w:r>
      <w:r w:rsidR="00611074" w:rsidRPr="00D93BA5">
        <w:t xml:space="preserve"> technologically feasible and economically justified.</w:t>
      </w:r>
      <w:r w:rsidR="0050276A" w:rsidRPr="00D93BA5">
        <w:t xml:space="preserve"> DOE’s NOPR relies on flawed assumptions and ignores the real</w:t>
      </w:r>
      <w:r w:rsidR="00AE4194" w:rsidRPr="00D93BA5">
        <w:t>-</w:t>
      </w:r>
      <w:r w:rsidR="0050276A" w:rsidRPr="00D93BA5">
        <w:t xml:space="preserve">world challenges facing the distribution transformer market today not just for electric </w:t>
      </w:r>
      <w:r w:rsidR="0050276A" w:rsidRPr="00D93BA5">
        <w:lastRenderedPageBreak/>
        <w:t xml:space="preserve">cooperatives but all electric utilities, as explained in further detail below. </w:t>
      </w:r>
      <w:r w:rsidR="009D27E1" w:rsidRPr="00D93BA5">
        <w:t xml:space="preserve">In preparation for our comments in this docket, NRECA engaged Power System Engineering (PSE), a full service electrical and mechanical consulting firm for utilities and other entities with a wealth of experience with electric cooperatives and we enclose PSE’s memo here as further evidence to our concerns expressed below. </w:t>
      </w:r>
      <w:r w:rsidR="009D27E1" w:rsidRPr="00D93BA5">
        <w:t>PSE states: “we support and echo many of NRECA’s concerns about this proposal as currently</w:t>
      </w:r>
      <w:r w:rsidR="009D27E1" w:rsidRPr="00D93BA5">
        <w:t xml:space="preserve"> </w:t>
      </w:r>
      <w:r w:rsidR="009D27E1" w:rsidRPr="000C254F">
        <w:t>written and its potential consequences on the ability of U.S. electric cooperatives to continue to provide</w:t>
      </w:r>
      <w:r w:rsidR="009D27E1" w:rsidRPr="00D93BA5">
        <w:t xml:space="preserve"> </w:t>
      </w:r>
      <w:r w:rsidR="009D27E1" w:rsidRPr="00D93BA5">
        <w:t>affordable, reliable electric service to their members.”</w:t>
      </w:r>
    </w:p>
    <w:p w14:paraId="2A0970DD" w14:textId="77777777" w:rsidR="009D27E1" w:rsidRPr="00D93BA5" w:rsidRDefault="009D27E1" w:rsidP="006317A6">
      <w:pPr>
        <w:pStyle w:val="NoSpacing"/>
        <w:rPr>
          <w:rFonts w:ascii="Times New Roman" w:hAnsi="Times New Roman" w:cs="Times New Roman"/>
          <w:sz w:val="24"/>
          <w:szCs w:val="24"/>
        </w:rPr>
      </w:pPr>
    </w:p>
    <w:p w14:paraId="2C141786" w14:textId="3D10012A" w:rsidR="006317A6" w:rsidRPr="00D93BA5" w:rsidRDefault="0050276A"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 xml:space="preserve">We urge DOE to keep the </w:t>
      </w:r>
      <w:r w:rsidR="00280003" w:rsidRPr="00D93BA5">
        <w:rPr>
          <w:rFonts w:ascii="Times New Roman" w:hAnsi="Times New Roman" w:cs="Times New Roman"/>
          <w:sz w:val="24"/>
          <w:szCs w:val="24"/>
        </w:rPr>
        <w:t xml:space="preserve">existing </w:t>
      </w:r>
      <w:r w:rsidRPr="00D93BA5">
        <w:rPr>
          <w:rFonts w:ascii="Times New Roman" w:hAnsi="Times New Roman" w:cs="Times New Roman"/>
          <w:sz w:val="24"/>
          <w:szCs w:val="24"/>
        </w:rPr>
        <w:t xml:space="preserve">standard in place, as </w:t>
      </w:r>
      <w:r w:rsidR="00C01536" w:rsidRPr="00D93BA5">
        <w:rPr>
          <w:rFonts w:ascii="Times New Roman" w:hAnsi="Times New Roman" w:cs="Times New Roman"/>
          <w:sz w:val="24"/>
          <w:szCs w:val="24"/>
        </w:rPr>
        <w:t xml:space="preserve">permitted </w:t>
      </w:r>
      <w:r w:rsidRPr="00D93BA5">
        <w:rPr>
          <w:rFonts w:ascii="Times New Roman" w:hAnsi="Times New Roman" w:cs="Times New Roman"/>
          <w:sz w:val="24"/>
          <w:szCs w:val="24"/>
        </w:rPr>
        <w:t xml:space="preserve">by statute, and instead focus on other means for incentivizing amorphous steel core transformers that </w:t>
      </w:r>
      <w:r w:rsidR="00611074" w:rsidRPr="00D93BA5">
        <w:rPr>
          <w:rFonts w:ascii="Times New Roman" w:hAnsi="Times New Roman" w:cs="Times New Roman"/>
          <w:sz w:val="24"/>
          <w:szCs w:val="24"/>
        </w:rPr>
        <w:t xml:space="preserve">could </w:t>
      </w:r>
      <w:r w:rsidRPr="00D93BA5">
        <w:rPr>
          <w:rFonts w:ascii="Times New Roman" w:hAnsi="Times New Roman" w:cs="Times New Roman"/>
          <w:sz w:val="24"/>
          <w:szCs w:val="24"/>
        </w:rPr>
        <w:t xml:space="preserve">allow for potential expansion in the </w:t>
      </w:r>
      <w:r w:rsidR="00280003" w:rsidRPr="00D93BA5">
        <w:rPr>
          <w:rFonts w:ascii="Times New Roman" w:hAnsi="Times New Roman" w:cs="Times New Roman"/>
          <w:sz w:val="24"/>
          <w:szCs w:val="24"/>
        </w:rPr>
        <w:t xml:space="preserve">manufacturer </w:t>
      </w:r>
      <w:r w:rsidRPr="00D93BA5">
        <w:rPr>
          <w:rFonts w:ascii="Times New Roman" w:hAnsi="Times New Roman" w:cs="Times New Roman"/>
          <w:sz w:val="24"/>
          <w:szCs w:val="24"/>
        </w:rPr>
        <w:t>market</w:t>
      </w:r>
      <w:r w:rsidR="00611074" w:rsidRPr="00D93BA5">
        <w:rPr>
          <w:rFonts w:ascii="Times New Roman" w:hAnsi="Times New Roman" w:cs="Times New Roman"/>
          <w:sz w:val="24"/>
          <w:szCs w:val="24"/>
        </w:rPr>
        <w:t xml:space="preserve"> without jeopardizing electric reliability</w:t>
      </w:r>
      <w:r w:rsidRPr="00D93BA5">
        <w:rPr>
          <w:rFonts w:ascii="Times New Roman" w:hAnsi="Times New Roman" w:cs="Times New Roman"/>
          <w:sz w:val="24"/>
          <w:szCs w:val="24"/>
        </w:rPr>
        <w:t xml:space="preserve">. </w:t>
      </w:r>
      <w:r w:rsidR="00280003" w:rsidRPr="00D93BA5">
        <w:rPr>
          <w:rFonts w:ascii="Times New Roman" w:hAnsi="Times New Roman" w:cs="Times New Roman"/>
          <w:sz w:val="24"/>
          <w:szCs w:val="24"/>
        </w:rPr>
        <w:t>DOE’s top priority should be finding ways to support domestic distribution transformer manufacturers to increase production immediately and to sustain that output over the long term as electrification</w:t>
      </w:r>
      <w:r w:rsidR="00B55A93" w:rsidRPr="00D93BA5">
        <w:rPr>
          <w:rFonts w:ascii="Times New Roman" w:hAnsi="Times New Roman" w:cs="Times New Roman"/>
          <w:sz w:val="24"/>
          <w:szCs w:val="24"/>
        </w:rPr>
        <w:t xml:space="preserve"> of the U.S. economy grows</w:t>
      </w:r>
      <w:r w:rsidR="00280003" w:rsidRPr="00D93BA5">
        <w:rPr>
          <w:rFonts w:ascii="Times New Roman" w:hAnsi="Times New Roman" w:cs="Times New Roman"/>
          <w:sz w:val="24"/>
          <w:szCs w:val="24"/>
        </w:rPr>
        <w:t xml:space="preserve">. </w:t>
      </w:r>
    </w:p>
    <w:p w14:paraId="5C5EF8BF" w14:textId="4279A934" w:rsidR="00611074" w:rsidRPr="00D93BA5" w:rsidRDefault="00611074" w:rsidP="006317A6">
      <w:pPr>
        <w:pStyle w:val="NoSpacing"/>
        <w:rPr>
          <w:rFonts w:ascii="Times New Roman" w:hAnsi="Times New Roman" w:cs="Times New Roman"/>
          <w:sz w:val="24"/>
          <w:szCs w:val="24"/>
        </w:rPr>
      </w:pPr>
    </w:p>
    <w:p w14:paraId="48A4D158" w14:textId="6CC6D0CB" w:rsidR="006317A6" w:rsidRPr="00D93BA5" w:rsidRDefault="006317A6" w:rsidP="006317A6">
      <w:pPr>
        <w:pStyle w:val="NoSpacing"/>
        <w:rPr>
          <w:rFonts w:ascii="Times New Roman" w:hAnsi="Times New Roman" w:cs="Times New Roman"/>
          <w:b/>
          <w:bCs/>
          <w:sz w:val="24"/>
          <w:szCs w:val="24"/>
        </w:rPr>
      </w:pPr>
      <w:r w:rsidRPr="00D93BA5">
        <w:rPr>
          <w:rFonts w:ascii="Times New Roman" w:hAnsi="Times New Roman" w:cs="Times New Roman"/>
          <w:b/>
          <w:bCs/>
          <w:sz w:val="24"/>
          <w:szCs w:val="24"/>
        </w:rPr>
        <w:t xml:space="preserve">Now is the wrong time for this proposal. The current </w:t>
      </w:r>
      <w:r w:rsidR="00C01536" w:rsidRPr="00D93BA5">
        <w:rPr>
          <w:rFonts w:ascii="Times New Roman" w:hAnsi="Times New Roman" w:cs="Times New Roman"/>
          <w:b/>
          <w:bCs/>
          <w:sz w:val="24"/>
          <w:szCs w:val="24"/>
        </w:rPr>
        <w:t xml:space="preserve">distribution transformer </w:t>
      </w:r>
      <w:r w:rsidRPr="00D93BA5">
        <w:rPr>
          <w:rFonts w:ascii="Times New Roman" w:hAnsi="Times New Roman" w:cs="Times New Roman"/>
          <w:b/>
          <w:bCs/>
          <w:sz w:val="24"/>
          <w:szCs w:val="24"/>
        </w:rPr>
        <w:t xml:space="preserve">supply chain serving the utility sector is struggling to meet demand. </w:t>
      </w:r>
    </w:p>
    <w:p w14:paraId="760008CA" w14:textId="77777777" w:rsidR="006317A6" w:rsidRPr="00D93BA5" w:rsidRDefault="006317A6" w:rsidP="006317A6">
      <w:pPr>
        <w:pStyle w:val="NoSpacing"/>
        <w:rPr>
          <w:rFonts w:ascii="Times New Roman" w:hAnsi="Times New Roman" w:cs="Times New Roman"/>
          <w:sz w:val="24"/>
          <w:szCs w:val="24"/>
        </w:rPr>
      </w:pPr>
    </w:p>
    <w:p w14:paraId="1E8CB147" w14:textId="1C048E00" w:rsidR="000A61CB" w:rsidRPr="00D93BA5" w:rsidRDefault="000A61CB" w:rsidP="000A61CB">
      <w:pPr>
        <w:pStyle w:val="NoSpacing"/>
        <w:rPr>
          <w:rFonts w:ascii="Times New Roman" w:hAnsi="Times New Roman" w:cs="Times New Roman"/>
          <w:sz w:val="24"/>
          <w:szCs w:val="24"/>
        </w:rPr>
      </w:pPr>
      <w:r w:rsidRPr="00D93BA5">
        <w:rPr>
          <w:rFonts w:ascii="Times New Roman" w:hAnsi="Times New Roman" w:cs="Times New Roman"/>
          <w:sz w:val="24"/>
          <w:szCs w:val="24"/>
        </w:rPr>
        <w:t xml:space="preserve">The current manufacturing base serving electric utilities is struggling to meet demand and DOE’s NOPR exacerbates this ongoing crisis. </w:t>
      </w:r>
      <w:r w:rsidR="00280003" w:rsidRPr="00D93BA5">
        <w:rPr>
          <w:rFonts w:ascii="Times New Roman" w:hAnsi="Times New Roman" w:cs="Times New Roman"/>
          <w:sz w:val="24"/>
          <w:szCs w:val="24"/>
        </w:rPr>
        <w:t>Electric cooperatives</w:t>
      </w:r>
      <w:r w:rsidRPr="00D93BA5">
        <w:rPr>
          <w:rFonts w:ascii="Times New Roman" w:hAnsi="Times New Roman" w:cs="Times New Roman"/>
          <w:sz w:val="24"/>
          <w:szCs w:val="24"/>
        </w:rPr>
        <w:t xml:space="preserve"> are facing unprecedented challenges securing equipment and material to provide reliable electric service to their c</w:t>
      </w:r>
      <w:r w:rsidR="00C01536" w:rsidRPr="00D93BA5">
        <w:rPr>
          <w:rFonts w:ascii="Times New Roman" w:hAnsi="Times New Roman" w:cs="Times New Roman"/>
          <w:sz w:val="24"/>
          <w:szCs w:val="24"/>
        </w:rPr>
        <w:t xml:space="preserve">onsumer-members. </w:t>
      </w:r>
      <w:r w:rsidRPr="00D93BA5">
        <w:rPr>
          <w:rFonts w:ascii="Times New Roman" w:hAnsi="Times New Roman" w:cs="Times New Roman"/>
          <w:sz w:val="24"/>
          <w:szCs w:val="24"/>
        </w:rPr>
        <w:t xml:space="preserve"> </w:t>
      </w:r>
      <w:r w:rsidR="00280003" w:rsidRPr="00D93BA5">
        <w:rPr>
          <w:rFonts w:ascii="Times New Roman" w:hAnsi="Times New Roman" w:cs="Times New Roman"/>
          <w:sz w:val="24"/>
          <w:szCs w:val="24"/>
        </w:rPr>
        <w:t xml:space="preserve">All segments of the utility sector </w:t>
      </w:r>
      <w:r w:rsidRPr="00D93BA5">
        <w:rPr>
          <w:rFonts w:ascii="Times New Roman" w:hAnsi="Times New Roman" w:cs="Times New Roman"/>
          <w:sz w:val="24"/>
          <w:szCs w:val="24"/>
        </w:rPr>
        <w:t xml:space="preserve">have been sounding the alarm for more than a year about the supply chain constraints around multiple types of equipment they require to keep the lights on, with distribution transformers being the most acute challenge. It now takes more than a year on average for utilities to receive distribution transformers, compared with 60 days just a couple </w:t>
      </w:r>
      <w:r w:rsidR="00344AC2" w:rsidRPr="00D93BA5">
        <w:rPr>
          <w:rFonts w:ascii="Times New Roman" w:hAnsi="Times New Roman" w:cs="Times New Roman"/>
          <w:sz w:val="24"/>
          <w:szCs w:val="24"/>
        </w:rPr>
        <w:t xml:space="preserve">of </w:t>
      </w:r>
      <w:r w:rsidRPr="00D93BA5">
        <w:rPr>
          <w:rFonts w:ascii="Times New Roman" w:hAnsi="Times New Roman" w:cs="Times New Roman"/>
          <w:sz w:val="24"/>
          <w:szCs w:val="24"/>
        </w:rPr>
        <w:t>years ago. Some domestic transformer manufacturers have stopped taking orders altogether. We expect the backlog to continue to increase absent U.S. government support as utilities invest in grid resilience and modernization projects and federal and state policies drive more electrification.</w:t>
      </w:r>
    </w:p>
    <w:p w14:paraId="06786E50" w14:textId="77777777" w:rsidR="006317A6" w:rsidRPr="00D93BA5" w:rsidRDefault="006317A6" w:rsidP="006317A6">
      <w:pPr>
        <w:pStyle w:val="NoSpacing"/>
        <w:rPr>
          <w:rFonts w:ascii="Times New Roman" w:hAnsi="Times New Roman" w:cs="Times New Roman"/>
          <w:sz w:val="24"/>
          <w:szCs w:val="24"/>
        </w:rPr>
      </w:pPr>
    </w:p>
    <w:p w14:paraId="552CB61F" w14:textId="196EF622" w:rsidR="006317A6" w:rsidRPr="00D93BA5" w:rsidRDefault="006317A6"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 xml:space="preserve">Given the precarious situation that electric utilities face today in procuring distribution transformers, </w:t>
      </w:r>
      <w:r w:rsidR="00AA3F00" w:rsidRPr="00D93BA5">
        <w:rPr>
          <w:rFonts w:ascii="Times New Roman" w:hAnsi="Times New Roman" w:cs="Times New Roman"/>
          <w:sz w:val="24"/>
          <w:szCs w:val="24"/>
        </w:rPr>
        <w:t>the NOPR sends the wrong message and exact opposite signal that</w:t>
      </w:r>
      <w:r w:rsidRPr="00D93BA5">
        <w:rPr>
          <w:rFonts w:ascii="Times New Roman" w:hAnsi="Times New Roman" w:cs="Times New Roman"/>
          <w:sz w:val="24"/>
          <w:szCs w:val="24"/>
        </w:rPr>
        <w:t xml:space="preserve"> existing steel </w:t>
      </w:r>
      <w:r w:rsidR="00AA3F00" w:rsidRPr="00D93BA5">
        <w:rPr>
          <w:rFonts w:ascii="Times New Roman" w:hAnsi="Times New Roman" w:cs="Times New Roman"/>
          <w:sz w:val="24"/>
          <w:szCs w:val="24"/>
        </w:rPr>
        <w:t xml:space="preserve">producers </w:t>
      </w:r>
      <w:r w:rsidRPr="00D93BA5">
        <w:rPr>
          <w:rFonts w:ascii="Times New Roman" w:hAnsi="Times New Roman" w:cs="Times New Roman"/>
          <w:sz w:val="24"/>
          <w:szCs w:val="24"/>
        </w:rPr>
        <w:t>and</w:t>
      </w:r>
      <w:r w:rsidR="00AA3F00" w:rsidRPr="00D93BA5">
        <w:rPr>
          <w:rFonts w:ascii="Times New Roman" w:hAnsi="Times New Roman" w:cs="Times New Roman"/>
          <w:sz w:val="24"/>
          <w:szCs w:val="24"/>
        </w:rPr>
        <w:t xml:space="preserve"> transformer</w:t>
      </w:r>
      <w:r w:rsidRPr="00D93BA5">
        <w:rPr>
          <w:rFonts w:ascii="Times New Roman" w:hAnsi="Times New Roman" w:cs="Times New Roman"/>
          <w:sz w:val="24"/>
          <w:szCs w:val="24"/>
        </w:rPr>
        <w:t xml:space="preserve"> manufacturers</w:t>
      </w:r>
      <w:r w:rsidR="00AA3F00" w:rsidRPr="00D93BA5">
        <w:rPr>
          <w:rFonts w:ascii="Times New Roman" w:hAnsi="Times New Roman" w:cs="Times New Roman"/>
          <w:sz w:val="24"/>
          <w:szCs w:val="24"/>
        </w:rPr>
        <w:t xml:space="preserve"> need right now to</w:t>
      </w:r>
      <w:r w:rsidRPr="00D93BA5">
        <w:rPr>
          <w:rFonts w:ascii="Times New Roman" w:hAnsi="Times New Roman" w:cs="Times New Roman"/>
          <w:sz w:val="24"/>
          <w:szCs w:val="24"/>
        </w:rPr>
        <w:t xml:space="preserve"> </w:t>
      </w:r>
      <w:r w:rsidR="00D67DE0" w:rsidRPr="00D93BA5">
        <w:rPr>
          <w:rFonts w:ascii="Times New Roman" w:hAnsi="Times New Roman" w:cs="Times New Roman"/>
          <w:sz w:val="24"/>
          <w:szCs w:val="24"/>
        </w:rPr>
        <w:t xml:space="preserve">further </w:t>
      </w:r>
      <w:r w:rsidRPr="00D93BA5">
        <w:rPr>
          <w:rFonts w:ascii="Times New Roman" w:hAnsi="Times New Roman" w:cs="Times New Roman"/>
          <w:sz w:val="24"/>
          <w:szCs w:val="24"/>
        </w:rPr>
        <w:t>invest in the production capability we need to dig us out of the current hole we are in and be able to meet the</w:t>
      </w:r>
      <w:r w:rsidR="00D67DE0" w:rsidRPr="00D93BA5">
        <w:rPr>
          <w:rFonts w:ascii="Times New Roman" w:hAnsi="Times New Roman" w:cs="Times New Roman"/>
          <w:sz w:val="24"/>
          <w:szCs w:val="24"/>
        </w:rPr>
        <w:t xml:space="preserve"> increasing</w:t>
      </w:r>
      <w:r w:rsidRPr="00D93BA5">
        <w:rPr>
          <w:rFonts w:ascii="Times New Roman" w:hAnsi="Times New Roman" w:cs="Times New Roman"/>
          <w:sz w:val="24"/>
          <w:szCs w:val="24"/>
        </w:rPr>
        <w:t xml:space="preserve"> demand for electrification </w:t>
      </w:r>
      <w:r w:rsidR="00D67DE0" w:rsidRPr="00D93BA5">
        <w:rPr>
          <w:rFonts w:ascii="Times New Roman" w:hAnsi="Times New Roman" w:cs="Times New Roman"/>
          <w:sz w:val="24"/>
          <w:szCs w:val="24"/>
        </w:rPr>
        <w:t>that comes with</w:t>
      </w:r>
      <w:r w:rsidR="00AA3F00" w:rsidRPr="00D93BA5">
        <w:rPr>
          <w:rFonts w:ascii="Times New Roman" w:hAnsi="Times New Roman" w:cs="Times New Roman"/>
          <w:sz w:val="24"/>
          <w:szCs w:val="24"/>
        </w:rPr>
        <w:t xml:space="preserve"> electric vehicle charging, heat pumps and other </w:t>
      </w:r>
      <w:r w:rsidR="00344AC2" w:rsidRPr="00D93BA5">
        <w:rPr>
          <w:rFonts w:ascii="Times New Roman" w:hAnsi="Times New Roman" w:cs="Times New Roman"/>
          <w:sz w:val="24"/>
          <w:szCs w:val="24"/>
        </w:rPr>
        <w:t>carbon reduction initiatives.</w:t>
      </w:r>
      <w:r w:rsidRPr="00D93BA5">
        <w:rPr>
          <w:rFonts w:ascii="Times New Roman" w:hAnsi="Times New Roman" w:cs="Times New Roman"/>
          <w:sz w:val="24"/>
          <w:szCs w:val="24"/>
        </w:rPr>
        <w:t xml:space="preserve"> One of the potential solutions identified </w:t>
      </w:r>
      <w:r w:rsidR="00AA3F00" w:rsidRPr="00D93BA5">
        <w:rPr>
          <w:rFonts w:ascii="Times New Roman" w:hAnsi="Times New Roman" w:cs="Times New Roman"/>
          <w:sz w:val="24"/>
          <w:szCs w:val="24"/>
        </w:rPr>
        <w:t xml:space="preserve">in the last several months </w:t>
      </w:r>
      <w:r w:rsidRPr="00D93BA5">
        <w:rPr>
          <w:rFonts w:ascii="Times New Roman" w:hAnsi="Times New Roman" w:cs="Times New Roman"/>
          <w:sz w:val="24"/>
          <w:szCs w:val="24"/>
        </w:rPr>
        <w:t xml:space="preserve">to address current supply chain constraints to distribution transformer manufacturers is to send </w:t>
      </w:r>
      <w:r w:rsidR="00AA3F00" w:rsidRPr="00D93BA5">
        <w:rPr>
          <w:rFonts w:ascii="Times New Roman" w:hAnsi="Times New Roman" w:cs="Times New Roman"/>
          <w:sz w:val="24"/>
          <w:szCs w:val="24"/>
        </w:rPr>
        <w:t xml:space="preserve">a </w:t>
      </w:r>
      <w:r w:rsidR="00611074" w:rsidRPr="00D93BA5">
        <w:rPr>
          <w:rFonts w:ascii="Times New Roman" w:hAnsi="Times New Roman" w:cs="Times New Roman"/>
          <w:sz w:val="24"/>
          <w:szCs w:val="24"/>
        </w:rPr>
        <w:t xml:space="preserve">clear </w:t>
      </w:r>
      <w:r w:rsidRPr="00D93BA5">
        <w:rPr>
          <w:rFonts w:ascii="Times New Roman" w:hAnsi="Times New Roman" w:cs="Times New Roman"/>
          <w:sz w:val="24"/>
          <w:szCs w:val="24"/>
        </w:rPr>
        <w:t xml:space="preserve">signal to the steel producers – for example through subsidies or purchase commitments – that there is and will remain a strong and growing demand for </w:t>
      </w:r>
      <w:r w:rsidR="00AA3F00" w:rsidRPr="00D93BA5">
        <w:rPr>
          <w:rFonts w:ascii="Times New Roman" w:hAnsi="Times New Roman" w:cs="Times New Roman"/>
          <w:sz w:val="24"/>
          <w:szCs w:val="24"/>
        </w:rPr>
        <w:t>grain oriented electrical steel (</w:t>
      </w:r>
      <w:r w:rsidRPr="00D93BA5">
        <w:rPr>
          <w:rFonts w:ascii="Times New Roman" w:hAnsi="Times New Roman" w:cs="Times New Roman"/>
          <w:sz w:val="24"/>
          <w:szCs w:val="24"/>
        </w:rPr>
        <w:t>GOES</w:t>
      </w:r>
      <w:r w:rsidR="00AA3F00" w:rsidRPr="00D93BA5">
        <w:rPr>
          <w:rFonts w:ascii="Times New Roman" w:hAnsi="Times New Roman" w:cs="Times New Roman"/>
          <w:sz w:val="24"/>
          <w:szCs w:val="24"/>
        </w:rPr>
        <w:t>)</w:t>
      </w:r>
      <w:r w:rsidRPr="00D93BA5">
        <w:rPr>
          <w:rFonts w:ascii="Times New Roman" w:hAnsi="Times New Roman" w:cs="Times New Roman"/>
          <w:sz w:val="24"/>
          <w:szCs w:val="24"/>
        </w:rPr>
        <w:t xml:space="preserve">. However, </w:t>
      </w:r>
      <w:r w:rsidR="00344AC2" w:rsidRPr="00D93BA5">
        <w:rPr>
          <w:rFonts w:ascii="Times New Roman" w:hAnsi="Times New Roman" w:cs="Times New Roman"/>
          <w:sz w:val="24"/>
          <w:szCs w:val="24"/>
        </w:rPr>
        <w:t xml:space="preserve">DOE’s NOPR </w:t>
      </w:r>
      <w:r w:rsidRPr="00D93BA5">
        <w:rPr>
          <w:rFonts w:ascii="Times New Roman" w:hAnsi="Times New Roman" w:cs="Times New Roman"/>
          <w:sz w:val="24"/>
          <w:szCs w:val="24"/>
        </w:rPr>
        <w:t>does the exact opposite and instead pushes the transformer market to move almost entirely away from GOES.</w:t>
      </w:r>
      <w:r w:rsidR="000A61CB" w:rsidRPr="00D93BA5">
        <w:rPr>
          <w:rFonts w:ascii="Times New Roman" w:hAnsi="Times New Roman" w:cs="Times New Roman"/>
          <w:sz w:val="24"/>
          <w:szCs w:val="24"/>
        </w:rPr>
        <w:t xml:space="preserve"> </w:t>
      </w:r>
      <w:r w:rsidR="00AA3F00" w:rsidRPr="00D93BA5">
        <w:rPr>
          <w:rFonts w:ascii="Times New Roman" w:hAnsi="Times New Roman" w:cs="Times New Roman"/>
          <w:sz w:val="24"/>
          <w:szCs w:val="24"/>
        </w:rPr>
        <w:t xml:space="preserve">Contrary to DOE’s assertions, this proposal will not expand the market for distribution transformers because most of the current production using traditional GOES will not be able to meet the new energy conservation standard. </w:t>
      </w:r>
    </w:p>
    <w:p w14:paraId="79BAECBA" w14:textId="7F72E604" w:rsidR="006317A6" w:rsidRPr="00D93BA5" w:rsidRDefault="006317A6" w:rsidP="006317A6">
      <w:pPr>
        <w:pStyle w:val="NoSpacing"/>
        <w:rPr>
          <w:rFonts w:ascii="Times New Roman" w:hAnsi="Times New Roman" w:cs="Times New Roman"/>
          <w:sz w:val="24"/>
          <w:szCs w:val="24"/>
        </w:rPr>
      </w:pPr>
    </w:p>
    <w:p w14:paraId="6CD45E1B" w14:textId="7DC8E16D" w:rsidR="00AA39C6" w:rsidRPr="00D93BA5" w:rsidRDefault="00FE1D9B" w:rsidP="00AA39C6">
      <w:pPr>
        <w:pStyle w:val="NoSpacing"/>
        <w:rPr>
          <w:rFonts w:ascii="Times New Roman" w:hAnsi="Times New Roman" w:cs="Times New Roman"/>
          <w:b/>
          <w:bCs/>
          <w:sz w:val="24"/>
          <w:szCs w:val="24"/>
        </w:rPr>
      </w:pPr>
      <w:r w:rsidRPr="00D93BA5">
        <w:rPr>
          <w:rFonts w:ascii="Times New Roman" w:hAnsi="Times New Roman" w:cs="Times New Roman"/>
          <w:b/>
          <w:bCs/>
          <w:sz w:val="24"/>
          <w:szCs w:val="24"/>
        </w:rPr>
        <w:t>DOE’s</w:t>
      </w:r>
      <w:r w:rsidR="00280003" w:rsidRPr="00D93BA5">
        <w:rPr>
          <w:rFonts w:ascii="Times New Roman" w:hAnsi="Times New Roman" w:cs="Times New Roman"/>
          <w:b/>
          <w:bCs/>
          <w:sz w:val="24"/>
          <w:szCs w:val="24"/>
        </w:rPr>
        <w:t xml:space="preserve"> NOPR injects harmful uncertainty </w:t>
      </w:r>
      <w:r w:rsidR="00344AC2" w:rsidRPr="00D93BA5">
        <w:rPr>
          <w:rFonts w:ascii="Times New Roman" w:hAnsi="Times New Roman" w:cs="Times New Roman"/>
          <w:b/>
          <w:bCs/>
          <w:sz w:val="24"/>
          <w:szCs w:val="24"/>
        </w:rPr>
        <w:t>in</w:t>
      </w:r>
      <w:r w:rsidR="00280003" w:rsidRPr="00D93BA5">
        <w:rPr>
          <w:rFonts w:ascii="Times New Roman" w:hAnsi="Times New Roman" w:cs="Times New Roman"/>
          <w:b/>
          <w:bCs/>
          <w:sz w:val="24"/>
          <w:szCs w:val="24"/>
        </w:rPr>
        <w:t>to the distribution transformer market, upending</w:t>
      </w:r>
      <w:r w:rsidR="001D22F8" w:rsidRPr="00D93BA5">
        <w:rPr>
          <w:rFonts w:ascii="Times New Roman" w:hAnsi="Times New Roman" w:cs="Times New Roman"/>
          <w:b/>
          <w:bCs/>
          <w:sz w:val="24"/>
          <w:szCs w:val="24"/>
        </w:rPr>
        <w:t xml:space="preserve"> </w:t>
      </w:r>
      <w:r w:rsidR="00280003" w:rsidRPr="00D93BA5">
        <w:rPr>
          <w:rFonts w:ascii="Times New Roman" w:hAnsi="Times New Roman" w:cs="Times New Roman"/>
          <w:b/>
          <w:bCs/>
          <w:sz w:val="24"/>
          <w:szCs w:val="24"/>
        </w:rPr>
        <w:t>potential</w:t>
      </w:r>
      <w:r w:rsidR="00AA39C6" w:rsidRPr="00D93BA5">
        <w:rPr>
          <w:rFonts w:ascii="Times New Roman" w:hAnsi="Times New Roman" w:cs="Times New Roman"/>
          <w:b/>
          <w:bCs/>
          <w:sz w:val="24"/>
          <w:szCs w:val="24"/>
        </w:rPr>
        <w:t xml:space="preserve"> progress in increasing production, just when </w:t>
      </w:r>
      <w:r w:rsidR="00280003" w:rsidRPr="00D93BA5">
        <w:rPr>
          <w:rFonts w:ascii="Times New Roman" w:hAnsi="Times New Roman" w:cs="Times New Roman"/>
          <w:b/>
          <w:bCs/>
          <w:sz w:val="24"/>
          <w:szCs w:val="24"/>
        </w:rPr>
        <w:t>utilities</w:t>
      </w:r>
      <w:r w:rsidR="00AA39C6" w:rsidRPr="00D93BA5">
        <w:rPr>
          <w:rFonts w:ascii="Times New Roman" w:hAnsi="Times New Roman" w:cs="Times New Roman"/>
          <w:b/>
          <w:bCs/>
          <w:sz w:val="24"/>
          <w:szCs w:val="24"/>
        </w:rPr>
        <w:t xml:space="preserve"> need manufacturers to be 100% focused on </w:t>
      </w:r>
      <w:r w:rsidR="00280003" w:rsidRPr="00D93BA5">
        <w:rPr>
          <w:rFonts w:ascii="Times New Roman" w:hAnsi="Times New Roman" w:cs="Times New Roman"/>
          <w:b/>
          <w:bCs/>
          <w:sz w:val="24"/>
          <w:szCs w:val="24"/>
        </w:rPr>
        <w:t xml:space="preserve">increasing </w:t>
      </w:r>
      <w:r w:rsidR="00AA39C6" w:rsidRPr="00D93BA5">
        <w:rPr>
          <w:rFonts w:ascii="Times New Roman" w:hAnsi="Times New Roman" w:cs="Times New Roman"/>
          <w:b/>
          <w:bCs/>
          <w:sz w:val="24"/>
          <w:szCs w:val="24"/>
        </w:rPr>
        <w:t>output.</w:t>
      </w:r>
    </w:p>
    <w:p w14:paraId="2A2B1072" w14:textId="6023AA26" w:rsidR="00AA39C6" w:rsidRPr="00D93BA5" w:rsidRDefault="00AA39C6" w:rsidP="00AA39C6">
      <w:pPr>
        <w:pStyle w:val="NoSpacing"/>
        <w:rPr>
          <w:rFonts w:ascii="Times New Roman" w:hAnsi="Times New Roman" w:cs="Times New Roman"/>
          <w:sz w:val="24"/>
          <w:szCs w:val="24"/>
        </w:rPr>
      </w:pPr>
    </w:p>
    <w:p w14:paraId="53435DD4" w14:textId="77EC39F9" w:rsidR="001D22F8" w:rsidRPr="00D93BA5" w:rsidRDefault="001D22F8" w:rsidP="00AA39C6">
      <w:pPr>
        <w:pStyle w:val="NoSpacing"/>
        <w:rPr>
          <w:rFonts w:ascii="Times New Roman" w:hAnsi="Times New Roman" w:cs="Times New Roman"/>
          <w:sz w:val="24"/>
          <w:szCs w:val="24"/>
        </w:rPr>
      </w:pPr>
      <w:r w:rsidRPr="00D93BA5">
        <w:rPr>
          <w:rFonts w:ascii="Times New Roman" w:hAnsi="Times New Roman" w:cs="Times New Roman"/>
          <w:sz w:val="24"/>
          <w:szCs w:val="24"/>
        </w:rPr>
        <w:t xml:space="preserve">Since </w:t>
      </w:r>
      <w:r w:rsidR="00344AC2" w:rsidRPr="00D93BA5">
        <w:rPr>
          <w:rFonts w:ascii="Times New Roman" w:hAnsi="Times New Roman" w:cs="Times New Roman"/>
          <w:sz w:val="24"/>
          <w:szCs w:val="24"/>
        </w:rPr>
        <w:t xml:space="preserve">under DOE’s proposal </w:t>
      </w:r>
      <w:r w:rsidRPr="00D93BA5">
        <w:rPr>
          <w:rFonts w:ascii="Times New Roman" w:hAnsi="Times New Roman" w:cs="Times New Roman"/>
          <w:sz w:val="24"/>
          <w:szCs w:val="24"/>
        </w:rPr>
        <w:t xml:space="preserve">most current production will need to shift to using amorphous steel, distribution transformer manufacturers are being forced to consider how they will adjust and retool their </w:t>
      </w:r>
      <w:r w:rsidRPr="00D93BA5">
        <w:rPr>
          <w:rFonts w:ascii="Times New Roman" w:hAnsi="Times New Roman" w:cs="Times New Roman"/>
          <w:sz w:val="24"/>
          <w:szCs w:val="24"/>
        </w:rPr>
        <w:lastRenderedPageBreak/>
        <w:t>production, including sour</w:t>
      </w:r>
      <w:r w:rsidR="00FE1D9B" w:rsidRPr="00D93BA5">
        <w:rPr>
          <w:rFonts w:ascii="Times New Roman" w:hAnsi="Times New Roman" w:cs="Times New Roman"/>
          <w:sz w:val="24"/>
          <w:szCs w:val="24"/>
        </w:rPr>
        <w:t>c</w:t>
      </w:r>
      <w:r w:rsidRPr="00D93BA5">
        <w:rPr>
          <w:rFonts w:ascii="Times New Roman" w:hAnsi="Times New Roman" w:cs="Times New Roman"/>
          <w:sz w:val="24"/>
          <w:szCs w:val="24"/>
        </w:rPr>
        <w:t>ing their material</w:t>
      </w:r>
      <w:r w:rsidR="00FE1D9B" w:rsidRPr="00D93BA5">
        <w:rPr>
          <w:rFonts w:ascii="Times New Roman" w:hAnsi="Times New Roman" w:cs="Times New Roman"/>
          <w:sz w:val="24"/>
          <w:szCs w:val="24"/>
        </w:rPr>
        <w:t xml:space="preserve"> – taking critical attention away from increasing today’s output</w:t>
      </w:r>
      <w:r w:rsidRPr="00D93BA5">
        <w:rPr>
          <w:rFonts w:ascii="Times New Roman" w:hAnsi="Times New Roman" w:cs="Times New Roman"/>
          <w:sz w:val="24"/>
          <w:szCs w:val="24"/>
        </w:rPr>
        <w:t>. Simply put, this proposal is already doing damage to alleviating the ongoing supply chain crisis.</w:t>
      </w:r>
    </w:p>
    <w:p w14:paraId="541A5614" w14:textId="77777777" w:rsidR="00AA3F00" w:rsidRPr="00D93BA5" w:rsidRDefault="00AA3F00" w:rsidP="00AA39C6">
      <w:pPr>
        <w:pStyle w:val="NoSpacing"/>
        <w:rPr>
          <w:rFonts w:ascii="Times New Roman" w:hAnsi="Times New Roman" w:cs="Times New Roman"/>
          <w:sz w:val="24"/>
          <w:szCs w:val="24"/>
        </w:rPr>
      </w:pPr>
    </w:p>
    <w:p w14:paraId="10C34815" w14:textId="30C4F1A1" w:rsidR="001D22F8" w:rsidRPr="00D93BA5" w:rsidRDefault="00FE1D9B" w:rsidP="001D22F8">
      <w:pPr>
        <w:pStyle w:val="NoSpacing"/>
        <w:rPr>
          <w:rFonts w:ascii="Times New Roman" w:hAnsi="Times New Roman" w:cs="Times New Roman"/>
          <w:sz w:val="24"/>
          <w:szCs w:val="24"/>
        </w:rPr>
      </w:pPr>
      <w:r w:rsidRPr="00D93BA5">
        <w:rPr>
          <w:rFonts w:ascii="Times New Roman" w:hAnsi="Times New Roman" w:cs="Times New Roman"/>
          <w:sz w:val="24"/>
          <w:szCs w:val="24"/>
        </w:rPr>
        <w:t xml:space="preserve">Further, the NOPR is already creating immediate implications in steel production. </w:t>
      </w:r>
      <w:r w:rsidR="00AA39C6" w:rsidRPr="00D93BA5">
        <w:rPr>
          <w:rFonts w:ascii="Times New Roman" w:hAnsi="Times New Roman" w:cs="Times New Roman"/>
          <w:sz w:val="24"/>
          <w:szCs w:val="24"/>
        </w:rPr>
        <w:t xml:space="preserve">There is only one domestic </w:t>
      </w:r>
      <w:r w:rsidRPr="00D93BA5">
        <w:rPr>
          <w:rFonts w:ascii="Times New Roman" w:hAnsi="Times New Roman" w:cs="Times New Roman"/>
          <w:sz w:val="24"/>
          <w:szCs w:val="24"/>
        </w:rPr>
        <w:t>producer</w:t>
      </w:r>
      <w:r w:rsidR="00AA39C6" w:rsidRPr="00D93BA5">
        <w:rPr>
          <w:rFonts w:ascii="Times New Roman" w:hAnsi="Times New Roman" w:cs="Times New Roman"/>
          <w:sz w:val="24"/>
          <w:szCs w:val="24"/>
        </w:rPr>
        <w:t xml:space="preserve"> of GOES and this proposal risks putting the domestic electrical steel market in a precarious state.</w:t>
      </w:r>
      <w:r w:rsidR="001D22F8" w:rsidRPr="00D93BA5">
        <w:rPr>
          <w:rFonts w:ascii="Times New Roman" w:hAnsi="Times New Roman" w:cs="Times New Roman"/>
          <w:sz w:val="24"/>
          <w:szCs w:val="24"/>
        </w:rPr>
        <w:t xml:space="preserve"> With the uncertainty caused by the NOPR itself and its implications that GOES will b</w:t>
      </w:r>
      <w:r w:rsidR="00344AC2" w:rsidRPr="00D93BA5">
        <w:rPr>
          <w:rFonts w:ascii="Times New Roman" w:hAnsi="Times New Roman" w:cs="Times New Roman"/>
          <w:sz w:val="24"/>
          <w:szCs w:val="24"/>
        </w:rPr>
        <w:t xml:space="preserve">ecome irrelevant </w:t>
      </w:r>
      <w:r w:rsidR="001D22F8" w:rsidRPr="00D93BA5">
        <w:rPr>
          <w:rFonts w:ascii="Times New Roman" w:hAnsi="Times New Roman" w:cs="Times New Roman"/>
          <w:sz w:val="24"/>
          <w:szCs w:val="24"/>
        </w:rPr>
        <w:t xml:space="preserve">in the market once DOE finalizes the proposal, it is a natural result that </w:t>
      </w:r>
      <w:r w:rsidRPr="00D93BA5">
        <w:rPr>
          <w:rFonts w:ascii="Times New Roman" w:hAnsi="Times New Roman" w:cs="Times New Roman"/>
          <w:sz w:val="24"/>
          <w:szCs w:val="24"/>
        </w:rPr>
        <w:t>this existing producer,</w:t>
      </w:r>
      <w:r w:rsidR="001D22F8" w:rsidRPr="00D93BA5">
        <w:rPr>
          <w:rFonts w:ascii="Times New Roman" w:hAnsi="Times New Roman" w:cs="Times New Roman"/>
          <w:sz w:val="24"/>
          <w:szCs w:val="24"/>
        </w:rPr>
        <w:t xml:space="preserve"> and others considering investment in GOES</w:t>
      </w:r>
      <w:r w:rsidRPr="00D93BA5">
        <w:rPr>
          <w:rFonts w:ascii="Times New Roman" w:hAnsi="Times New Roman" w:cs="Times New Roman"/>
          <w:sz w:val="24"/>
          <w:szCs w:val="24"/>
        </w:rPr>
        <w:t>,</w:t>
      </w:r>
      <w:r w:rsidR="001D22F8" w:rsidRPr="00D93BA5">
        <w:rPr>
          <w:rFonts w:ascii="Times New Roman" w:hAnsi="Times New Roman" w:cs="Times New Roman"/>
          <w:sz w:val="24"/>
          <w:szCs w:val="24"/>
        </w:rPr>
        <w:t xml:space="preserve"> will pause any decisions on increasing GOES</w:t>
      </w:r>
      <w:r w:rsidR="003A17F3" w:rsidRPr="00D93BA5">
        <w:rPr>
          <w:rFonts w:ascii="Times New Roman" w:hAnsi="Times New Roman" w:cs="Times New Roman"/>
          <w:sz w:val="24"/>
          <w:szCs w:val="24"/>
        </w:rPr>
        <w:t xml:space="preserve"> production</w:t>
      </w:r>
      <w:r w:rsidRPr="00D93BA5">
        <w:rPr>
          <w:rFonts w:ascii="Times New Roman" w:hAnsi="Times New Roman" w:cs="Times New Roman"/>
          <w:sz w:val="24"/>
          <w:szCs w:val="24"/>
        </w:rPr>
        <w:t xml:space="preserve"> – and </w:t>
      </w:r>
      <w:r w:rsidR="001D22F8" w:rsidRPr="00D93BA5">
        <w:rPr>
          <w:rFonts w:ascii="Times New Roman" w:hAnsi="Times New Roman" w:cs="Times New Roman"/>
          <w:sz w:val="24"/>
          <w:szCs w:val="24"/>
        </w:rPr>
        <w:t xml:space="preserve">this is all playing out </w:t>
      </w:r>
      <w:r w:rsidRPr="00D93BA5">
        <w:rPr>
          <w:rFonts w:ascii="Times New Roman" w:hAnsi="Times New Roman" w:cs="Times New Roman"/>
          <w:sz w:val="24"/>
          <w:szCs w:val="24"/>
        </w:rPr>
        <w:t xml:space="preserve">when </w:t>
      </w:r>
      <w:r w:rsidR="003A17F3" w:rsidRPr="00D93BA5">
        <w:rPr>
          <w:rFonts w:ascii="Times New Roman" w:hAnsi="Times New Roman" w:cs="Times New Roman"/>
          <w:sz w:val="24"/>
          <w:szCs w:val="24"/>
        </w:rPr>
        <w:t xml:space="preserve">the industry </w:t>
      </w:r>
      <w:r w:rsidR="001D22F8" w:rsidRPr="00D93BA5">
        <w:rPr>
          <w:rFonts w:ascii="Times New Roman" w:hAnsi="Times New Roman" w:cs="Times New Roman"/>
          <w:sz w:val="24"/>
          <w:szCs w:val="24"/>
        </w:rPr>
        <w:t>need</w:t>
      </w:r>
      <w:r w:rsidR="003A17F3" w:rsidRPr="00D93BA5">
        <w:rPr>
          <w:rFonts w:ascii="Times New Roman" w:hAnsi="Times New Roman" w:cs="Times New Roman"/>
          <w:sz w:val="24"/>
          <w:szCs w:val="24"/>
        </w:rPr>
        <w:t>s</w:t>
      </w:r>
      <w:r w:rsidR="001D22F8" w:rsidRPr="00D93BA5">
        <w:rPr>
          <w:rFonts w:ascii="Times New Roman" w:hAnsi="Times New Roman" w:cs="Times New Roman"/>
          <w:sz w:val="24"/>
          <w:szCs w:val="24"/>
        </w:rPr>
        <w:t xml:space="preserve"> more GOES</w:t>
      </w:r>
      <w:r w:rsidRPr="00D93BA5">
        <w:rPr>
          <w:rFonts w:ascii="Times New Roman" w:hAnsi="Times New Roman" w:cs="Times New Roman"/>
          <w:sz w:val="24"/>
          <w:szCs w:val="24"/>
        </w:rPr>
        <w:t xml:space="preserve"> today</w:t>
      </w:r>
      <w:r w:rsidR="001D22F8" w:rsidRPr="00D93BA5">
        <w:rPr>
          <w:rFonts w:ascii="Times New Roman" w:hAnsi="Times New Roman" w:cs="Times New Roman"/>
          <w:sz w:val="24"/>
          <w:szCs w:val="24"/>
        </w:rPr>
        <w:t>.</w:t>
      </w:r>
    </w:p>
    <w:p w14:paraId="0027763E" w14:textId="53AF837E" w:rsidR="001D22F8" w:rsidRPr="00D93BA5" w:rsidRDefault="00AA39C6" w:rsidP="00AA39C6">
      <w:pPr>
        <w:pStyle w:val="NoSpacing"/>
        <w:rPr>
          <w:rFonts w:ascii="Times New Roman" w:hAnsi="Times New Roman" w:cs="Times New Roman"/>
          <w:sz w:val="24"/>
          <w:szCs w:val="24"/>
        </w:rPr>
      </w:pPr>
      <w:r w:rsidRPr="00D93BA5">
        <w:rPr>
          <w:rFonts w:ascii="Times New Roman" w:hAnsi="Times New Roman" w:cs="Times New Roman"/>
          <w:sz w:val="24"/>
          <w:szCs w:val="24"/>
        </w:rPr>
        <w:t xml:space="preserve"> </w:t>
      </w:r>
    </w:p>
    <w:p w14:paraId="5122A8C6" w14:textId="74ADADDB" w:rsidR="00AA39C6" w:rsidRPr="00D93BA5" w:rsidRDefault="00AA39C6" w:rsidP="00AA39C6">
      <w:pPr>
        <w:pStyle w:val="NoSpacing"/>
        <w:rPr>
          <w:rFonts w:ascii="Times New Roman" w:hAnsi="Times New Roman" w:cs="Times New Roman"/>
          <w:sz w:val="24"/>
          <w:szCs w:val="24"/>
        </w:rPr>
      </w:pPr>
      <w:r w:rsidRPr="00D93BA5">
        <w:rPr>
          <w:rFonts w:ascii="Times New Roman" w:hAnsi="Times New Roman" w:cs="Times New Roman"/>
          <w:sz w:val="24"/>
          <w:szCs w:val="24"/>
        </w:rPr>
        <w:t>Rather than helping to diversify supply, the NOPR is counterproductive as it would deter further domestic investment in GOES production because only amorphous steel cores would be able to meet the new energy conservation standard proposed by DOE. Ultimately, DOE’s NOPR will not foster competition and is instead likely to create a new monopoly supplier while simultaneously driving the existing GOES supplier out of the market. This</w:t>
      </w:r>
      <w:r w:rsidR="00371A9E" w:rsidRPr="00D93BA5">
        <w:rPr>
          <w:rFonts w:ascii="Times New Roman" w:hAnsi="Times New Roman" w:cs="Times New Roman"/>
          <w:sz w:val="24"/>
          <w:szCs w:val="24"/>
        </w:rPr>
        <w:t xml:space="preserve"> is likely to </w:t>
      </w:r>
      <w:r w:rsidRPr="00D93BA5">
        <w:rPr>
          <w:rFonts w:ascii="Times New Roman" w:hAnsi="Times New Roman" w:cs="Times New Roman"/>
          <w:sz w:val="24"/>
          <w:szCs w:val="24"/>
        </w:rPr>
        <w:t xml:space="preserve">create a ripple effect of </w:t>
      </w:r>
      <w:r w:rsidR="00371A9E" w:rsidRPr="00D93BA5">
        <w:rPr>
          <w:rFonts w:ascii="Times New Roman" w:hAnsi="Times New Roman" w:cs="Times New Roman"/>
          <w:sz w:val="24"/>
          <w:szCs w:val="24"/>
        </w:rPr>
        <w:t xml:space="preserve">ceasing </w:t>
      </w:r>
      <w:r w:rsidRPr="00D93BA5">
        <w:rPr>
          <w:rFonts w:ascii="Times New Roman" w:hAnsi="Times New Roman" w:cs="Times New Roman"/>
          <w:sz w:val="24"/>
          <w:szCs w:val="24"/>
        </w:rPr>
        <w:t>further investment in the domestic production of GOES for distribution transformers under consideration or announced by other steel producers.</w:t>
      </w:r>
    </w:p>
    <w:p w14:paraId="12142E1C" w14:textId="77777777" w:rsidR="00F111FD" w:rsidRPr="00D93BA5" w:rsidRDefault="00F111FD" w:rsidP="00F111FD">
      <w:pPr>
        <w:pStyle w:val="NoSpacing"/>
        <w:rPr>
          <w:rFonts w:ascii="Times New Roman" w:hAnsi="Times New Roman" w:cs="Times New Roman"/>
          <w:sz w:val="24"/>
          <w:szCs w:val="24"/>
        </w:rPr>
      </w:pPr>
    </w:p>
    <w:p w14:paraId="2B39937B" w14:textId="35A0D3B1" w:rsidR="00F111FD" w:rsidRPr="00D93BA5" w:rsidRDefault="00F111FD" w:rsidP="00F111FD">
      <w:pPr>
        <w:pStyle w:val="NoSpacing"/>
        <w:rPr>
          <w:rFonts w:ascii="Times New Roman" w:hAnsi="Times New Roman" w:cs="Times New Roman"/>
          <w:b/>
          <w:bCs/>
          <w:sz w:val="24"/>
          <w:szCs w:val="24"/>
        </w:rPr>
      </w:pPr>
      <w:r w:rsidRPr="00D93BA5">
        <w:rPr>
          <w:rFonts w:ascii="Times New Roman" w:hAnsi="Times New Roman" w:cs="Times New Roman"/>
          <w:b/>
          <w:bCs/>
          <w:sz w:val="24"/>
          <w:szCs w:val="24"/>
        </w:rPr>
        <w:t xml:space="preserve">DOE’s assumptions about the availability of amorphous steel are incorrect and underestimate the ability of the material to be available at a level to meet the </w:t>
      </w:r>
      <w:r w:rsidR="00776486" w:rsidRPr="00D93BA5">
        <w:rPr>
          <w:rFonts w:ascii="Times New Roman" w:hAnsi="Times New Roman" w:cs="Times New Roman"/>
          <w:b/>
          <w:bCs/>
          <w:sz w:val="24"/>
          <w:szCs w:val="24"/>
        </w:rPr>
        <w:t xml:space="preserve">utility </w:t>
      </w:r>
      <w:r w:rsidRPr="00D93BA5">
        <w:rPr>
          <w:rFonts w:ascii="Times New Roman" w:hAnsi="Times New Roman" w:cs="Times New Roman"/>
          <w:b/>
          <w:bCs/>
          <w:sz w:val="24"/>
          <w:szCs w:val="24"/>
        </w:rPr>
        <w:t>sector’s needs in the envisioned timeframe.</w:t>
      </w:r>
    </w:p>
    <w:p w14:paraId="6411003D" w14:textId="7B432243" w:rsidR="00F111FD" w:rsidRPr="00D93BA5" w:rsidRDefault="00F111FD" w:rsidP="00AA39C6">
      <w:pPr>
        <w:pStyle w:val="NoSpacing"/>
        <w:rPr>
          <w:rFonts w:ascii="Times New Roman" w:hAnsi="Times New Roman" w:cs="Times New Roman"/>
          <w:sz w:val="24"/>
          <w:szCs w:val="24"/>
        </w:rPr>
      </w:pPr>
    </w:p>
    <w:p w14:paraId="15DA55F8" w14:textId="7BE00832" w:rsidR="004436B0" w:rsidRPr="00D93BA5" w:rsidRDefault="00F111FD" w:rsidP="004436B0">
      <w:pPr>
        <w:pStyle w:val="NoSpacing"/>
        <w:rPr>
          <w:rFonts w:ascii="Times New Roman" w:hAnsi="Times New Roman" w:cs="Times New Roman"/>
          <w:sz w:val="24"/>
          <w:szCs w:val="24"/>
        </w:rPr>
      </w:pPr>
      <w:r w:rsidRPr="00D93BA5">
        <w:rPr>
          <w:rFonts w:ascii="Times New Roman" w:hAnsi="Times New Roman" w:cs="Times New Roman"/>
          <w:sz w:val="24"/>
          <w:szCs w:val="24"/>
        </w:rPr>
        <w:t>W</w:t>
      </w:r>
      <w:r w:rsidR="00AA39C6" w:rsidRPr="00D93BA5">
        <w:rPr>
          <w:rFonts w:ascii="Times New Roman" w:hAnsi="Times New Roman" w:cs="Times New Roman"/>
          <w:sz w:val="24"/>
          <w:szCs w:val="24"/>
        </w:rPr>
        <w:t xml:space="preserve">e have serious concerns about whether the only domestic producer of amorphous steel today would even be able to meet electric utilities’ demand for distribution transformers. The only amorphous steel producer’s output today is a mere fraction of what would be required </w:t>
      </w:r>
      <w:r w:rsidR="00371A9E" w:rsidRPr="00D93BA5">
        <w:rPr>
          <w:rFonts w:ascii="Times New Roman" w:hAnsi="Times New Roman" w:cs="Times New Roman"/>
          <w:sz w:val="24"/>
          <w:szCs w:val="24"/>
        </w:rPr>
        <w:t xml:space="preserve">as input to distribution transformer manufacturing </w:t>
      </w:r>
      <w:r w:rsidR="00AA39C6" w:rsidRPr="00D93BA5">
        <w:rPr>
          <w:rFonts w:ascii="Times New Roman" w:hAnsi="Times New Roman" w:cs="Times New Roman"/>
          <w:sz w:val="24"/>
          <w:szCs w:val="24"/>
        </w:rPr>
        <w:t xml:space="preserve">to adequately meet the electric utilities’ demand, raising serious implications for electric reliability and affordability. As currently drafted, the NOPR relies on a single supplier in the market to ramp up output to meet the demand in just three years. </w:t>
      </w:r>
      <w:r w:rsidR="004436B0" w:rsidRPr="00D93BA5">
        <w:rPr>
          <w:rFonts w:ascii="Times New Roman" w:hAnsi="Times New Roman" w:cs="Times New Roman"/>
          <w:sz w:val="24"/>
          <w:szCs w:val="24"/>
        </w:rPr>
        <w:t xml:space="preserve">We already have a steel availability issue today. DOE’s NOPR compounds this existing problem as the proposed standard would require 60% more GOES or 30% more amorphous steel per transformer. When the focus should be squarely on increasing </w:t>
      </w:r>
      <w:r w:rsidR="00371A9E" w:rsidRPr="00D93BA5">
        <w:rPr>
          <w:rFonts w:ascii="Times New Roman" w:hAnsi="Times New Roman" w:cs="Times New Roman"/>
          <w:sz w:val="24"/>
          <w:szCs w:val="24"/>
        </w:rPr>
        <w:t xml:space="preserve">current </w:t>
      </w:r>
      <w:r w:rsidR="004436B0" w:rsidRPr="00D93BA5">
        <w:rPr>
          <w:rFonts w:ascii="Times New Roman" w:hAnsi="Times New Roman" w:cs="Times New Roman"/>
          <w:sz w:val="24"/>
          <w:szCs w:val="24"/>
        </w:rPr>
        <w:t>production</w:t>
      </w:r>
      <w:r w:rsidR="00371A9E" w:rsidRPr="00D93BA5">
        <w:rPr>
          <w:rFonts w:ascii="Times New Roman" w:hAnsi="Times New Roman" w:cs="Times New Roman"/>
          <w:sz w:val="24"/>
          <w:szCs w:val="24"/>
        </w:rPr>
        <w:t xml:space="preserve"> of distribution transformers</w:t>
      </w:r>
      <w:r w:rsidR="004436B0" w:rsidRPr="00D93BA5">
        <w:rPr>
          <w:rFonts w:ascii="Times New Roman" w:hAnsi="Times New Roman" w:cs="Times New Roman"/>
          <w:sz w:val="24"/>
          <w:szCs w:val="24"/>
        </w:rPr>
        <w:t>, it is clear that the DOE NOPR does more harm than good. Even if the lone domestic producer of amorphous steel ribbon may be able to ramp up if this rule is finalized, we have serious concerns as to whether there will be sufficient capacity in the companies that use the ribbon to turn it into wound core.</w:t>
      </w:r>
    </w:p>
    <w:p w14:paraId="626AC30A" w14:textId="77777777" w:rsidR="00AA39C6" w:rsidRPr="00D93BA5" w:rsidRDefault="00AA39C6" w:rsidP="00AA39C6">
      <w:pPr>
        <w:pStyle w:val="NoSpacing"/>
        <w:rPr>
          <w:rFonts w:ascii="Times New Roman" w:hAnsi="Times New Roman" w:cs="Times New Roman"/>
          <w:sz w:val="24"/>
          <w:szCs w:val="24"/>
        </w:rPr>
      </w:pPr>
    </w:p>
    <w:p w14:paraId="34C93711" w14:textId="2D42551D" w:rsidR="00AA39C6" w:rsidRPr="00D93BA5" w:rsidRDefault="00AA39C6" w:rsidP="00AA39C6">
      <w:pPr>
        <w:pStyle w:val="NoSpacing"/>
        <w:rPr>
          <w:rFonts w:ascii="Times New Roman" w:hAnsi="Times New Roman" w:cs="Times New Roman"/>
          <w:sz w:val="24"/>
          <w:szCs w:val="24"/>
        </w:rPr>
      </w:pPr>
      <w:r w:rsidRPr="00D93BA5">
        <w:rPr>
          <w:rFonts w:ascii="Times New Roman" w:hAnsi="Times New Roman" w:cs="Times New Roman"/>
          <w:sz w:val="24"/>
          <w:szCs w:val="24"/>
        </w:rPr>
        <w:t>In addition, the Department of Commerce found that amorphous steel is “more labor intensive to form into cores” and “it is more economical in countries with low labor costs.”</w:t>
      </w:r>
      <w:r w:rsidRPr="00D93BA5">
        <w:rPr>
          <w:rStyle w:val="FootnoteReference"/>
          <w:rFonts w:ascii="Times New Roman" w:hAnsi="Times New Roman" w:cs="Times New Roman"/>
          <w:sz w:val="24"/>
          <w:szCs w:val="24"/>
        </w:rPr>
        <w:footnoteReference w:id="1"/>
      </w:r>
      <w:r w:rsidRPr="00D93BA5">
        <w:rPr>
          <w:rFonts w:ascii="Times New Roman" w:hAnsi="Times New Roman" w:cs="Times New Roman"/>
          <w:sz w:val="24"/>
          <w:szCs w:val="24"/>
        </w:rPr>
        <w:t xml:space="preserve"> The United States’ labor market, characterized by higher prevailing wages, is very different than the labor markets of countries, such as China and India, where most amorphous steel cores are widely produced today. Moreover, the labor shortages plaguing many U.S. industries today – including distribution transformer manufacturers– make it very unlikely that domestic production of amorphous steel cores will ramp up to the level that DOE assumes in the NOPR. The Department of Commerce also found that the current lone domestic supplier “has lost 50 percent of its employees due to its inability to compete with imports from China that have flooded the world market.” We have serious doubts about the ability of one supplier to </w:t>
      </w:r>
      <w:r w:rsidRPr="00D93BA5">
        <w:rPr>
          <w:rFonts w:ascii="Times New Roman" w:hAnsi="Times New Roman" w:cs="Times New Roman"/>
          <w:sz w:val="24"/>
          <w:szCs w:val="24"/>
        </w:rPr>
        <w:lastRenderedPageBreak/>
        <w:t>increase output in the timeline envisioned in this proposal. If this NOPR is finalized as drafted, and the sole supplier cannot meet the demand, manufacturers will be forced to source their material from international sources (particularly China) representing a significant national security risk to the United States.</w:t>
      </w:r>
    </w:p>
    <w:p w14:paraId="26525840" w14:textId="4D54F0CA" w:rsidR="00AA39C6" w:rsidRPr="00D93BA5" w:rsidRDefault="00AA39C6" w:rsidP="00AA39C6">
      <w:pPr>
        <w:pStyle w:val="NoSpacing"/>
        <w:rPr>
          <w:rFonts w:ascii="Times New Roman" w:hAnsi="Times New Roman" w:cs="Times New Roman"/>
          <w:sz w:val="24"/>
          <w:szCs w:val="24"/>
        </w:rPr>
      </w:pPr>
    </w:p>
    <w:p w14:paraId="40105742" w14:textId="2AD9E341" w:rsidR="00AA39C6" w:rsidRPr="00D93BA5" w:rsidRDefault="00AA39C6" w:rsidP="00AA39C6">
      <w:pPr>
        <w:pStyle w:val="NoSpacing"/>
        <w:rPr>
          <w:rFonts w:ascii="Times New Roman" w:hAnsi="Times New Roman" w:cs="Times New Roman"/>
          <w:sz w:val="24"/>
          <w:szCs w:val="24"/>
        </w:rPr>
      </w:pPr>
      <w:r w:rsidRPr="00D93BA5">
        <w:rPr>
          <w:rFonts w:ascii="Times New Roman" w:hAnsi="Times New Roman" w:cs="Times New Roman"/>
          <w:sz w:val="24"/>
          <w:szCs w:val="24"/>
        </w:rPr>
        <w:t xml:space="preserve">Further, it is our understanding that most of this </w:t>
      </w:r>
      <w:r w:rsidR="004436B0" w:rsidRPr="00D93BA5">
        <w:rPr>
          <w:rFonts w:ascii="Times New Roman" w:hAnsi="Times New Roman" w:cs="Times New Roman"/>
          <w:sz w:val="24"/>
          <w:szCs w:val="24"/>
        </w:rPr>
        <w:t>amorphous steel producer’s</w:t>
      </w:r>
      <w:r w:rsidRPr="00D93BA5">
        <w:rPr>
          <w:rFonts w:ascii="Times New Roman" w:hAnsi="Times New Roman" w:cs="Times New Roman"/>
          <w:sz w:val="24"/>
          <w:szCs w:val="24"/>
        </w:rPr>
        <w:t xml:space="preserve"> steel</w:t>
      </w:r>
      <w:r w:rsidR="00FA4F75" w:rsidRPr="00D93BA5">
        <w:rPr>
          <w:rFonts w:ascii="Times New Roman" w:hAnsi="Times New Roman" w:cs="Times New Roman"/>
          <w:sz w:val="24"/>
          <w:szCs w:val="24"/>
        </w:rPr>
        <w:t xml:space="preserve"> inputs (?) </w:t>
      </w:r>
      <w:r w:rsidRPr="00D93BA5">
        <w:rPr>
          <w:rFonts w:ascii="Times New Roman" w:hAnsi="Times New Roman" w:cs="Times New Roman"/>
          <w:sz w:val="24"/>
          <w:szCs w:val="24"/>
        </w:rPr>
        <w:t xml:space="preserve"> </w:t>
      </w:r>
      <w:r w:rsidR="00FA4F75" w:rsidRPr="00D93BA5">
        <w:rPr>
          <w:rFonts w:ascii="Times New Roman" w:hAnsi="Times New Roman" w:cs="Times New Roman"/>
          <w:sz w:val="24"/>
          <w:szCs w:val="24"/>
        </w:rPr>
        <w:t xml:space="preserve">are </w:t>
      </w:r>
      <w:r w:rsidRPr="00D93BA5">
        <w:rPr>
          <w:rFonts w:ascii="Times New Roman" w:hAnsi="Times New Roman" w:cs="Times New Roman"/>
          <w:sz w:val="24"/>
          <w:szCs w:val="24"/>
        </w:rPr>
        <w:t>foreign-sourced</w:t>
      </w:r>
      <w:r w:rsidR="004436B0" w:rsidRPr="00D93BA5">
        <w:rPr>
          <w:rFonts w:ascii="Times New Roman" w:hAnsi="Times New Roman" w:cs="Times New Roman"/>
          <w:sz w:val="24"/>
          <w:szCs w:val="24"/>
        </w:rPr>
        <w:t xml:space="preserve">, representing an additional </w:t>
      </w:r>
      <w:r w:rsidRPr="00D93BA5">
        <w:rPr>
          <w:rFonts w:ascii="Times New Roman" w:hAnsi="Times New Roman" w:cs="Times New Roman"/>
          <w:sz w:val="24"/>
          <w:szCs w:val="24"/>
        </w:rPr>
        <w:t xml:space="preserve">national security risk. Relying on foreign sources for steel </w:t>
      </w:r>
      <w:r w:rsidR="00FA4F75" w:rsidRPr="00D93BA5">
        <w:rPr>
          <w:rFonts w:ascii="Times New Roman" w:hAnsi="Times New Roman" w:cs="Times New Roman"/>
          <w:sz w:val="24"/>
          <w:szCs w:val="24"/>
        </w:rPr>
        <w:t xml:space="preserve">inputs (?) </w:t>
      </w:r>
      <w:r w:rsidRPr="00D93BA5">
        <w:rPr>
          <w:rFonts w:ascii="Times New Roman" w:hAnsi="Times New Roman" w:cs="Times New Roman"/>
          <w:sz w:val="24"/>
          <w:szCs w:val="24"/>
        </w:rPr>
        <w:t>required to support critical infrastructure should be a serious consideration for DOE as it considers whether to finalize this rule as contemplated.</w:t>
      </w:r>
      <w:r w:rsidR="004436B0" w:rsidRPr="00D93BA5">
        <w:rPr>
          <w:rFonts w:ascii="Times New Roman" w:hAnsi="Times New Roman" w:cs="Times New Roman"/>
          <w:sz w:val="24"/>
          <w:szCs w:val="24"/>
        </w:rPr>
        <w:t xml:space="preserve"> Moreover, with the Build America Buy America Act (BABA) becoming law with passage of the Infrastructure Investment and Jobs Act (IIJA) the steel being used by this amorphous steel producer would </w:t>
      </w:r>
      <w:r w:rsidR="006A4455" w:rsidRPr="00D93BA5">
        <w:rPr>
          <w:rFonts w:ascii="Times New Roman" w:hAnsi="Times New Roman" w:cs="Times New Roman"/>
          <w:sz w:val="24"/>
          <w:szCs w:val="24"/>
        </w:rPr>
        <w:t xml:space="preserve">likely not </w:t>
      </w:r>
      <w:r w:rsidR="004436B0" w:rsidRPr="00D93BA5">
        <w:rPr>
          <w:rFonts w:ascii="Times New Roman" w:hAnsi="Times New Roman" w:cs="Times New Roman"/>
          <w:sz w:val="24"/>
          <w:szCs w:val="24"/>
        </w:rPr>
        <w:t>meet the requirements of BABA.</w:t>
      </w:r>
    </w:p>
    <w:p w14:paraId="4DF047CE" w14:textId="77777777" w:rsidR="00AA39C6" w:rsidRPr="00D93BA5" w:rsidRDefault="00AA39C6" w:rsidP="00AA39C6">
      <w:pPr>
        <w:pStyle w:val="NoSpacing"/>
        <w:rPr>
          <w:rFonts w:ascii="Times New Roman" w:hAnsi="Times New Roman" w:cs="Times New Roman"/>
          <w:sz w:val="24"/>
          <w:szCs w:val="24"/>
        </w:rPr>
      </w:pPr>
    </w:p>
    <w:p w14:paraId="15FF98F5" w14:textId="52226D52" w:rsidR="00AA39C6" w:rsidRPr="00D93BA5" w:rsidRDefault="00AA39C6" w:rsidP="00AA39C6">
      <w:pPr>
        <w:pStyle w:val="NoSpacing"/>
        <w:rPr>
          <w:rFonts w:ascii="Times New Roman" w:hAnsi="Times New Roman" w:cs="Times New Roman"/>
          <w:sz w:val="24"/>
          <w:szCs w:val="24"/>
        </w:rPr>
      </w:pPr>
      <w:r w:rsidRPr="00D93BA5">
        <w:rPr>
          <w:rFonts w:ascii="Times New Roman" w:hAnsi="Times New Roman" w:cs="Times New Roman"/>
          <w:sz w:val="24"/>
          <w:szCs w:val="24"/>
        </w:rPr>
        <w:t xml:space="preserve">This move will also be detrimental to bringing back domestic manufacturing capacity for large power transformers (LPTs) used for electric utility transmission services. LPTs use GOES and cannot use amorphous steel cores, and it has already been identified as another national security risk that the U.S. receives nearly all LPTs and their components from overseas. </w:t>
      </w:r>
    </w:p>
    <w:p w14:paraId="52B08D1B" w14:textId="77777777" w:rsidR="006317A6" w:rsidRPr="00D93BA5" w:rsidRDefault="006317A6" w:rsidP="006317A6">
      <w:pPr>
        <w:pStyle w:val="NoSpacing"/>
        <w:rPr>
          <w:rFonts w:ascii="Times New Roman" w:hAnsi="Times New Roman" w:cs="Times New Roman"/>
          <w:sz w:val="24"/>
          <w:szCs w:val="24"/>
        </w:rPr>
      </w:pPr>
    </w:p>
    <w:p w14:paraId="5A221C66" w14:textId="77777777" w:rsidR="006317A6" w:rsidRPr="00D93BA5" w:rsidRDefault="006317A6" w:rsidP="006317A6">
      <w:pPr>
        <w:pStyle w:val="NoSpacing"/>
        <w:rPr>
          <w:rFonts w:ascii="Times New Roman" w:hAnsi="Times New Roman" w:cs="Times New Roman"/>
          <w:b/>
          <w:bCs/>
          <w:sz w:val="24"/>
          <w:szCs w:val="24"/>
        </w:rPr>
      </w:pPr>
      <w:r w:rsidRPr="00D93BA5">
        <w:rPr>
          <w:rFonts w:ascii="Times New Roman" w:hAnsi="Times New Roman" w:cs="Times New Roman"/>
          <w:b/>
          <w:bCs/>
          <w:sz w:val="24"/>
          <w:szCs w:val="24"/>
        </w:rPr>
        <w:t xml:space="preserve">The superiority of amorphous steel to grain oriented electrical steel is overstated in DOE’s proposal. </w:t>
      </w:r>
    </w:p>
    <w:p w14:paraId="69A85BDB" w14:textId="77777777" w:rsidR="006317A6" w:rsidRPr="00D93BA5" w:rsidRDefault="006317A6" w:rsidP="006317A6">
      <w:pPr>
        <w:pStyle w:val="NoSpacing"/>
        <w:rPr>
          <w:rFonts w:ascii="Times New Roman" w:hAnsi="Times New Roman" w:cs="Times New Roman"/>
          <w:sz w:val="24"/>
          <w:szCs w:val="24"/>
        </w:rPr>
      </w:pPr>
    </w:p>
    <w:p w14:paraId="33D32F0C" w14:textId="4C6CE9CB" w:rsidR="00E97432" w:rsidRPr="00D93BA5" w:rsidRDefault="00E97432"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 xml:space="preserve">We acknowledge that amorphous steel core transformers are technologically feasible in that they are in production and use both in the United States and more widely in other countries today. However, we believe DOE has not adequately accounted for some serious operational concerns that come with </w:t>
      </w:r>
      <w:r w:rsidR="004436B0" w:rsidRPr="00D93BA5">
        <w:rPr>
          <w:rFonts w:ascii="Times New Roman" w:hAnsi="Times New Roman" w:cs="Times New Roman"/>
          <w:sz w:val="24"/>
          <w:szCs w:val="24"/>
        </w:rPr>
        <w:t xml:space="preserve">using </w:t>
      </w:r>
      <w:r w:rsidRPr="00D93BA5">
        <w:rPr>
          <w:rFonts w:ascii="Times New Roman" w:hAnsi="Times New Roman" w:cs="Times New Roman"/>
          <w:sz w:val="24"/>
          <w:szCs w:val="24"/>
        </w:rPr>
        <w:t xml:space="preserve">amorphous </w:t>
      </w:r>
      <w:r w:rsidR="004436B0" w:rsidRPr="00D93BA5">
        <w:rPr>
          <w:rFonts w:ascii="Times New Roman" w:hAnsi="Times New Roman" w:cs="Times New Roman"/>
          <w:sz w:val="24"/>
          <w:szCs w:val="24"/>
        </w:rPr>
        <w:t xml:space="preserve">steel cores </w:t>
      </w:r>
      <w:r w:rsidRPr="00D93BA5">
        <w:rPr>
          <w:rFonts w:ascii="Times New Roman" w:hAnsi="Times New Roman" w:cs="Times New Roman"/>
          <w:sz w:val="24"/>
          <w:szCs w:val="24"/>
        </w:rPr>
        <w:t xml:space="preserve">as compared with traditional </w:t>
      </w:r>
      <w:r w:rsidR="004436B0" w:rsidRPr="00D93BA5">
        <w:rPr>
          <w:rFonts w:ascii="Times New Roman" w:hAnsi="Times New Roman" w:cs="Times New Roman"/>
          <w:sz w:val="24"/>
          <w:szCs w:val="24"/>
        </w:rPr>
        <w:t>GOES</w:t>
      </w:r>
      <w:r w:rsidR="00042E14" w:rsidRPr="00D93BA5">
        <w:rPr>
          <w:rFonts w:ascii="Times New Roman" w:hAnsi="Times New Roman" w:cs="Times New Roman"/>
          <w:sz w:val="24"/>
          <w:szCs w:val="24"/>
        </w:rPr>
        <w:t xml:space="preserve"> cores</w:t>
      </w:r>
      <w:r w:rsidRPr="00D93BA5">
        <w:rPr>
          <w:rFonts w:ascii="Times New Roman" w:hAnsi="Times New Roman" w:cs="Times New Roman"/>
          <w:sz w:val="24"/>
          <w:szCs w:val="24"/>
        </w:rPr>
        <w:t>. More work is needed to address these concerns and gain a better understanding of their potential impacts to the reliable operation of the distribution grid.</w:t>
      </w:r>
    </w:p>
    <w:p w14:paraId="45EFBDD2" w14:textId="77777777" w:rsidR="00E97432" w:rsidRPr="00D93BA5" w:rsidRDefault="00E97432" w:rsidP="006317A6">
      <w:pPr>
        <w:pStyle w:val="NoSpacing"/>
        <w:rPr>
          <w:rFonts w:ascii="Times New Roman" w:hAnsi="Times New Roman" w:cs="Times New Roman"/>
          <w:sz w:val="24"/>
          <w:szCs w:val="24"/>
        </w:rPr>
      </w:pPr>
    </w:p>
    <w:p w14:paraId="7AD8C27D" w14:textId="6DB56F60" w:rsidR="006317A6" w:rsidRPr="00D93BA5" w:rsidRDefault="006317A6"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The relative energy efficiency benefits of amorphous</w:t>
      </w:r>
      <w:r w:rsidR="004436B0" w:rsidRPr="00D93BA5">
        <w:rPr>
          <w:rFonts w:ascii="Times New Roman" w:hAnsi="Times New Roman" w:cs="Times New Roman"/>
          <w:sz w:val="24"/>
          <w:szCs w:val="24"/>
        </w:rPr>
        <w:t xml:space="preserve"> steel core transformers</w:t>
      </w:r>
      <w:r w:rsidRPr="00D93BA5">
        <w:rPr>
          <w:rFonts w:ascii="Times New Roman" w:hAnsi="Times New Roman" w:cs="Times New Roman"/>
          <w:sz w:val="24"/>
          <w:szCs w:val="24"/>
        </w:rPr>
        <w:t xml:space="preserve"> cannot be realized</w:t>
      </w:r>
      <w:r w:rsidR="00042E14" w:rsidRPr="00D93BA5">
        <w:rPr>
          <w:rFonts w:ascii="Times New Roman" w:hAnsi="Times New Roman" w:cs="Times New Roman"/>
          <w:sz w:val="24"/>
          <w:szCs w:val="24"/>
        </w:rPr>
        <w:t xml:space="preserve"> consistently and broadly due to </w:t>
      </w:r>
      <w:r w:rsidRPr="00D93BA5">
        <w:rPr>
          <w:rFonts w:ascii="Times New Roman" w:hAnsi="Times New Roman" w:cs="Times New Roman"/>
          <w:sz w:val="24"/>
          <w:szCs w:val="24"/>
        </w:rPr>
        <w:t xml:space="preserve">operating conditions that vary across electric utilities. </w:t>
      </w:r>
      <w:r w:rsidR="00AA39C6" w:rsidRPr="00D93BA5">
        <w:rPr>
          <w:rFonts w:ascii="Times New Roman" w:hAnsi="Times New Roman" w:cs="Times New Roman"/>
          <w:sz w:val="24"/>
          <w:szCs w:val="24"/>
        </w:rPr>
        <w:t>DOE’s analysis</w:t>
      </w:r>
      <w:r w:rsidR="004436B0" w:rsidRPr="00D93BA5">
        <w:rPr>
          <w:rFonts w:ascii="Times New Roman" w:hAnsi="Times New Roman" w:cs="Times New Roman"/>
          <w:sz w:val="24"/>
          <w:szCs w:val="24"/>
        </w:rPr>
        <w:t xml:space="preserve"> in the NOPR</w:t>
      </w:r>
      <w:r w:rsidR="00AA39C6" w:rsidRPr="00D93BA5">
        <w:rPr>
          <w:rFonts w:ascii="Times New Roman" w:hAnsi="Times New Roman" w:cs="Times New Roman"/>
          <w:sz w:val="24"/>
          <w:szCs w:val="24"/>
        </w:rPr>
        <w:t xml:space="preserve"> relies on the energy savings from improved no load losses</w:t>
      </w:r>
      <w:r w:rsidR="0073300C" w:rsidRPr="00D93BA5">
        <w:rPr>
          <w:rFonts w:ascii="Times New Roman" w:hAnsi="Times New Roman" w:cs="Times New Roman"/>
          <w:sz w:val="24"/>
          <w:szCs w:val="24"/>
        </w:rPr>
        <w:t xml:space="preserve"> achieved with amorphous steel core transformers. However, DOE’s analysis does n</w:t>
      </w:r>
      <w:r w:rsidR="00C009FA" w:rsidRPr="00D93BA5">
        <w:rPr>
          <w:rFonts w:ascii="Times New Roman" w:hAnsi="Times New Roman" w:cs="Times New Roman"/>
          <w:sz w:val="24"/>
          <w:szCs w:val="24"/>
        </w:rPr>
        <w:t xml:space="preserve">ot accurately reflect the loading on today’s transformers as well as the increased loading expected in the future due to greater electrification. DOE’s assumption that utilities are loading their transformers at 30% today vastly underrepresents the loading that </w:t>
      </w:r>
      <w:r w:rsidR="00042E14" w:rsidRPr="00D93BA5">
        <w:rPr>
          <w:rFonts w:ascii="Times New Roman" w:hAnsi="Times New Roman" w:cs="Times New Roman"/>
          <w:sz w:val="24"/>
          <w:szCs w:val="24"/>
        </w:rPr>
        <w:t xml:space="preserve">NRECA </w:t>
      </w:r>
      <w:r w:rsidR="00C009FA" w:rsidRPr="00D93BA5">
        <w:rPr>
          <w:rFonts w:ascii="Times New Roman" w:hAnsi="Times New Roman" w:cs="Times New Roman"/>
          <w:sz w:val="24"/>
          <w:szCs w:val="24"/>
        </w:rPr>
        <w:t xml:space="preserve">members </w:t>
      </w:r>
      <w:r w:rsidR="00042E14" w:rsidRPr="00D93BA5">
        <w:rPr>
          <w:rFonts w:ascii="Times New Roman" w:hAnsi="Times New Roman" w:cs="Times New Roman"/>
          <w:sz w:val="24"/>
          <w:szCs w:val="24"/>
        </w:rPr>
        <w:t xml:space="preserve">report from </w:t>
      </w:r>
      <w:r w:rsidR="00C009FA" w:rsidRPr="00D93BA5">
        <w:rPr>
          <w:rFonts w:ascii="Times New Roman" w:hAnsi="Times New Roman" w:cs="Times New Roman"/>
          <w:sz w:val="24"/>
          <w:szCs w:val="24"/>
        </w:rPr>
        <w:t>their system</w:t>
      </w:r>
      <w:r w:rsidR="00042E14" w:rsidRPr="00D93BA5">
        <w:rPr>
          <w:rFonts w:ascii="Times New Roman" w:hAnsi="Times New Roman" w:cs="Times New Roman"/>
          <w:sz w:val="24"/>
          <w:szCs w:val="24"/>
        </w:rPr>
        <w:t>s</w:t>
      </w:r>
      <w:r w:rsidR="00C009FA" w:rsidRPr="00D93BA5">
        <w:rPr>
          <w:rFonts w:ascii="Times New Roman" w:hAnsi="Times New Roman" w:cs="Times New Roman"/>
          <w:sz w:val="24"/>
          <w:szCs w:val="24"/>
        </w:rPr>
        <w:t xml:space="preserve">. Our members strive to maximize the loading that is both safe and </w:t>
      </w:r>
      <w:r w:rsidR="004436B0" w:rsidRPr="00D93BA5">
        <w:rPr>
          <w:rFonts w:ascii="Times New Roman" w:hAnsi="Times New Roman" w:cs="Times New Roman"/>
          <w:sz w:val="24"/>
          <w:szCs w:val="24"/>
        </w:rPr>
        <w:t>maximizes usage of the asset to the extent possible</w:t>
      </w:r>
      <w:r w:rsidR="00C009FA" w:rsidRPr="00D93BA5">
        <w:rPr>
          <w:rFonts w:ascii="Times New Roman" w:hAnsi="Times New Roman" w:cs="Times New Roman"/>
          <w:sz w:val="24"/>
          <w:szCs w:val="24"/>
        </w:rPr>
        <w:t>. For cooperatives, it is more likely that the loading</w:t>
      </w:r>
      <w:r w:rsidR="004436B0" w:rsidRPr="00D93BA5">
        <w:rPr>
          <w:rFonts w:ascii="Times New Roman" w:hAnsi="Times New Roman" w:cs="Times New Roman"/>
          <w:sz w:val="24"/>
          <w:szCs w:val="24"/>
        </w:rPr>
        <w:t xml:space="preserve"> on our members’ distribution transformers</w:t>
      </w:r>
      <w:r w:rsidR="00C009FA" w:rsidRPr="00D93BA5">
        <w:rPr>
          <w:rFonts w:ascii="Times New Roman" w:hAnsi="Times New Roman" w:cs="Times New Roman"/>
          <w:sz w:val="24"/>
          <w:szCs w:val="24"/>
        </w:rPr>
        <w:t xml:space="preserve"> today</w:t>
      </w:r>
      <w:r w:rsidR="004436B0" w:rsidRPr="00D93BA5">
        <w:rPr>
          <w:rFonts w:ascii="Times New Roman" w:hAnsi="Times New Roman" w:cs="Times New Roman"/>
          <w:sz w:val="24"/>
          <w:szCs w:val="24"/>
        </w:rPr>
        <w:t xml:space="preserve"> on average</w:t>
      </w:r>
      <w:r w:rsidR="00C009FA" w:rsidRPr="00D93BA5">
        <w:rPr>
          <w:rFonts w:ascii="Times New Roman" w:hAnsi="Times New Roman" w:cs="Times New Roman"/>
          <w:sz w:val="24"/>
          <w:szCs w:val="24"/>
        </w:rPr>
        <w:t xml:space="preserve"> is closer to 80%. Therefore, DOE is also undercounting the expect</w:t>
      </w:r>
      <w:r w:rsidR="004436B0" w:rsidRPr="00D93BA5">
        <w:rPr>
          <w:rFonts w:ascii="Times New Roman" w:hAnsi="Times New Roman" w:cs="Times New Roman"/>
          <w:sz w:val="24"/>
          <w:szCs w:val="24"/>
        </w:rPr>
        <w:t>ed</w:t>
      </w:r>
      <w:r w:rsidR="00C009FA" w:rsidRPr="00D93BA5">
        <w:rPr>
          <w:rFonts w:ascii="Times New Roman" w:hAnsi="Times New Roman" w:cs="Times New Roman"/>
          <w:sz w:val="24"/>
          <w:szCs w:val="24"/>
        </w:rPr>
        <w:t xml:space="preserve"> loading </w:t>
      </w:r>
      <w:r w:rsidR="00B11224" w:rsidRPr="00D93BA5">
        <w:rPr>
          <w:rFonts w:ascii="Times New Roman" w:hAnsi="Times New Roman" w:cs="Times New Roman"/>
          <w:sz w:val="24"/>
          <w:szCs w:val="24"/>
        </w:rPr>
        <w:t>on distribution transformers due to future</w:t>
      </w:r>
      <w:r w:rsidR="00C009FA" w:rsidRPr="00D93BA5">
        <w:rPr>
          <w:rFonts w:ascii="Times New Roman" w:hAnsi="Times New Roman" w:cs="Times New Roman"/>
          <w:sz w:val="24"/>
          <w:szCs w:val="24"/>
        </w:rPr>
        <w:t xml:space="preserve"> </w:t>
      </w:r>
      <w:r w:rsidR="00B11224" w:rsidRPr="00D93BA5">
        <w:rPr>
          <w:rFonts w:ascii="Times New Roman" w:hAnsi="Times New Roman" w:cs="Times New Roman"/>
          <w:sz w:val="24"/>
          <w:szCs w:val="24"/>
        </w:rPr>
        <w:t xml:space="preserve">growth in </w:t>
      </w:r>
      <w:r w:rsidR="00C009FA" w:rsidRPr="00D93BA5">
        <w:rPr>
          <w:rFonts w:ascii="Times New Roman" w:hAnsi="Times New Roman" w:cs="Times New Roman"/>
          <w:sz w:val="24"/>
          <w:szCs w:val="24"/>
        </w:rPr>
        <w:t xml:space="preserve">electrification at 50% as that is well below what is already </w:t>
      </w:r>
      <w:r w:rsidR="00042E14" w:rsidRPr="00D93BA5">
        <w:rPr>
          <w:rFonts w:ascii="Times New Roman" w:hAnsi="Times New Roman" w:cs="Times New Roman"/>
          <w:sz w:val="24"/>
          <w:szCs w:val="24"/>
        </w:rPr>
        <w:t xml:space="preserve">the case </w:t>
      </w:r>
      <w:r w:rsidR="00C009FA" w:rsidRPr="00D93BA5">
        <w:rPr>
          <w:rFonts w:ascii="Times New Roman" w:hAnsi="Times New Roman" w:cs="Times New Roman"/>
          <w:sz w:val="24"/>
          <w:szCs w:val="24"/>
        </w:rPr>
        <w:t>today.</w:t>
      </w:r>
    </w:p>
    <w:p w14:paraId="2FDB40B4" w14:textId="094E128F" w:rsidR="00E97432" w:rsidRPr="00D93BA5" w:rsidRDefault="00E97432" w:rsidP="006317A6">
      <w:pPr>
        <w:pStyle w:val="NoSpacing"/>
        <w:rPr>
          <w:rFonts w:ascii="Times New Roman" w:hAnsi="Times New Roman" w:cs="Times New Roman"/>
          <w:sz w:val="24"/>
          <w:szCs w:val="24"/>
        </w:rPr>
      </w:pPr>
    </w:p>
    <w:p w14:paraId="6D6B90E4" w14:textId="79311325" w:rsidR="006317A6" w:rsidRPr="00D93BA5" w:rsidRDefault="00B11224"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 xml:space="preserve">Again, </w:t>
      </w:r>
      <w:r w:rsidR="00E97432" w:rsidRPr="00D93BA5">
        <w:rPr>
          <w:rFonts w:ascii="Times New Roman" w:hAnsi="Times New Roman" w:cs="Times New Roman"/>
          <w:sz w:val="24"/>
          <w:szCs w:val="24"/>
        </w:rPr>
        <w:t>DOE’s</w:t>
      </w:r>
      <w:r w:rsidRPr="00D93BA5">
        <w:rPr>
          <w:rFonts w:ascii="Times New Roman" w:hAnsi="Times New Roman" w:cs="Times New Roman"/>
          <w:sz w:val="24"/>
          <w:szCs w:val="24"/>
        </w:rPr>
        <w:t xml:space="preserve"> analysis in the NOPR relies on energy savings achieved through</w:t>
      </w:r>
      <w:r w:rsidR="00E97432" w:rsidRPr="00D93BA5">
        <w:rPr>
          <w:rFonts w:ascii="Times New Roman" w:hAnsi="Times New Roman" w:cs="Times New Roman"/>
          <w:sz w:val="24"/>
          <w:szCs w:val="24"/>
        </w:rPr>
        <w:t xml:space="preserve"> improved no load losses. However, we urge DOE to consider that amorphous</w:t>
      </w:r>
      <w:r w:rsidRPr="00D93BA5">
        <w:rPr>
          <w:rFonts w:ascii="Times New Roman" w:hAnsi="Times New Roman" w:cs="Times New Roman"/>
          <w:sz w:val="24"/>
          <w:szCs w:val="24"/>
        </w:rPr>
        <w:t xml:space="preserve"> steel core transformers</w:t>
      </w:r>
      <w:r w:rsidR="002D3CE3" w:rsidRPr="00D93BA5">
        <w:rPr>
          <w:rFonts w:ascii="Times New Roman" w:hAnsi="Times New Roman" w:cs="Times New Roman"/>
          <w:sz w:val="24"/>
          <w:szCs w:val="24"/>
        </w:rPr>
        <w:t xml:space="preserve"> experience </w:t>
      </w:r>
      <w:r w:rsidR="00E97432" w:rsidRPr="00D93BA5">
        <w:rPr>
          <w:rFonts w:ascii="Times New Roman" w:hAnsi="Times New Roman" w:cs="Times New Roman"/>
          <w:sz w:val="24"/>
          <w:szCs w:val="24"/>
        </w:rPr>
        <w:t xml:space="preserve">improved no load losses at the expense of high load losses. </w:t>
      </w:r>
      <w:r w:rsidR="00C009FA" w:rsidRPr="00D93BA5">
        <w:rPr>
          <w:rFonts w:ascii="Times New Roman" w:hAnsi="Times New Roman" w:cs="Times New Roman"/>
          <w:sz w:val="24"/>
          <w:szCs w:val="24"/>
        </w:rPr>
        <w:t xml:space="preserve">Our </w:t>
      </w:r>
      <w:r w:rsidRPr="00D93BA5">
        <w:rPr>
          <w:rFonts w:ascii="Times New Roman" w:hAnsi="Times New Roman" w:cs="Times New Roman"/>
          <w:sz w:val="24"/>
          <w:szCs w:val="24"/>
        </w:rPr>
        <w:t xml:space="preserve">members’ </w:t>
      </w:r>
      <w:r w:rsidR="00C009FA" w:rsidRPr="00D93BA5">
        <w:rPr>
          <w:rFonts w:ascii="Times New Roman" w:hAnsi="Times New Roman" w:cs="Times New Roman"/>
          <w:sz w:val="24"/>
          <w:szCs w:val="24"/>
        </w:rPr>
        <w:t>experience shows that amorpho</w:t>
      </w:r>
      <w:r w:rsidR="00E97432" w:rsidRPr="00D93BA5">
        <w:rPr>
          <w:rFonts w:ascii="Times New Roman" w:hAnsi="Times New Roman" w:cs="Times New Roman"/>
          <w:sz w:val="24"/>
          <w:szCs w:val="24"/>
        </w:rPr>
        <w:t xml:space="preserve">us steel core transformers sustain higher full load losses, which is more likely to be the operating condition of transformers with further electrification and EV charging occurring overnight, thus reducing the amount of time that transformers are carrying no or very </w:t>
      </w:r>
      <w:r w:rsidR="00AE4194" w:rsidRPr="00D93BA5">
        <w:rPr>
          <w:rFonts w:ascii="Times New Roman" w:hAnsi="Times New Roman" w:cs="Times New Roman"/>
          <w:sz w:val="24"/>
          <w:szCs w:val="24"/>
        </w:rPr>
        <w:t xml:space="preserve">low </w:t>
      </w:r>
      <w:r w:rsidR="00E97432" w:rsidRPr="00D93BA5">
        <w:rPr>
          <w:rFonts w:ascii="Times New Roman" w:hAnsi="Times New Roman" w:cs="Times New Roman"/>
          <w:sz w:val="24"/>
          <w:szCs w:val="24"/>
        </w:rPr>
        <w:t>load.</w:t>
      </w:r>
      <w:r w:rsidR="00280003" w:rsidRPr="00D93BA5">
        <w:rPr>
          <w:rFonts w:ascii="Times New Roman" w:hAnsi="Times New Roman" w:cs="Times New Roman"/>
          <w:sz w:val="24"/>
          <w:szCs w:val="24"/>
        </w:rPr>
        <w:t xml:space="preserve"> Adding more copper and core material can compensate for these losses at full load, but the transformer will ultimately be larger, making them more difficult to handle and more expensive for cooperatives.</w:t>
      </w:r>
      <w:r w:rsidR="00F56E47" w:rsidRPr="00D93BA5">
        <w:rPr>
          <w:rFonts w:ascii="Times New Roman" w:hAnsi="Times New Roman" w:cs="Times New Roman"/>
          <w:sz w:val="24"/>
          <w:szCs w:val="24"/>
        </w:rPr>
        <w:t xml:space="preserve"> </w:t>
      </w:r>
      <w:r w:rsidR="00042E14" w:rsidRPr="00D93BA5">
        <w:rPr>
          <w:rFonts w:ascii="Times New Roman" w:hAnsi="Times New Roman" w:cs="Times New Roman"/>
          <w:sz w:val="24"/>
          <w:szCs w:val="24"/>
        </w:rPr>
        <w:t>In addition,</w:t>
      </w:r>
      <w:r w:rsidR="00F56E47" w:rsidRPr="00D93BA5">
        <w:rPr>
          <w:rFonts w:ascii="Times New Roman" w:hAnsi="Times New Roman" w:cs="Times New Roman"/>
          <w:sz w:val="24"/>
          <w:szCs w:val="24"/>
        </w:rPr>
        <w:t xml:space="preserve"> DOE should better account for the </w:t>
      </w:r>
      <w:r w:rsidR="00F56E47" w:rsidRPr="00D93BA5">
        <w:rPr>
          <w:rFonts w:ascii="Times New Roman" w:hAnsi="Times New Roman" w:cs="Times New Roman"/>
          <w:sz w:val="24"/>
          <w:szCs w:val="24"/>
        </w:rPr>
        <w:lastRenderedPageBreak/>
        <w:t>additional</w:t>
      </w:r>
      <w:r w:rsidRPr="00D93BA5">
        <w:rPr>
          <w:rFonts w:ascii="Times New Roman" w:hAnsi="Times New Roman" w:cs="Times New Roman"/>
          <w:sz w:val="24"/>
          <w:szCs w:val="24"/>
        </w:rPr>
        <w:t xml:space="preserve"> greenhouse gas</w:t>
      </w:r>
      <w:r w:rsidR="00F56E47" w:rsidRPr="00D93BA5">
        <w:rPr>
          <w:rFonts w:ascii="Times New Roman" w:hAnsi="Times New Roman" w:cs="Times New Roman"/>
          <w:sz w:val="24"/>
          <w:szCs w:val="24"/>
        </w:rPr>
        <w:t xml:space="preserve"> emissions it will take in terms of materials to support the bigger footprint of amorphous </w:t>
      </w:r>
      <w:r w:rsidRPr="00D93BA5">
        <w:rPr>
          <w:rFonts w:ascii="Times New Roman" w:hAnsi="Times New Roman" w:cs="Times New Roman"/>
          <w:sz w:val="24"/>
          <w:szCs w:val="24"/>
        </w:rPr>
        <w:t xml:space="preserve">steel core </w:t>
      </w:r>
      <w:r w:rsidR="00F56E47" w:rsidRPr="00D93BA5">
        <w:rPr>
          <w:rFonts w:ascii="Times New Roman" w:hAnsi="Times New Roman" w:cs="Times New Roman"/>
          <w:sz w:val="24"/>
          <w:szCs w:val="24"/>
        </w:rPr>
        <w:t xml:space="preserve">transformers, ranging from the copper in the windings to the steel for the tanks to the oils, paints, and insulating papers used on the transformers, and everything in between. </w:t>
      </w:r>
      <w:r w:rsidRPr="00D93BA5">
        <w:rPr>
          <w:rFonts w:ascii="Times New Roman" w:hAnsi="Times New Roman" w:cs="Times New Roman"/>
          <w:sz w:val="24"/>
          <w:szCs w:val="24"/>
        </w:rPr>
        <w:t xml:space="preserve">Using more material to produce these transformers means more emissions and DOE should accurately reflect that in </w:t>
      </w:r>
      <w:r w:rsidR="00042E14" w:rsidRPr="00D93BA5">
        <w:rPr>
          <w:rFonts w:ascii="Times New Roman" w:hAnsi="Times New Roman" w:cs="Times New Roman"/>
          <w:sz w:val="24"/>
          <w:szCs w:val="24"/>
        </w:rPr>
        <w:t xml:space="preserve">the Department’s </w:t>
      </w:r>
      <w:r w:rsidRPr="00D93BA5">
        <w:rPr>
          <w:rFonts w:ascii="Times New Roman" w:hAnsi="Times New Roman" w:cs="Times New Roman"/>
          <w:sz w:val="24"/>
          <w:szCs w:val="24"/>
        </w:rPr>
        <w:t>analysis.</w:t>
      </w:r>
    </w:p>
    <w:p w14:paraId="4685C76B" w14:textId="15402432" w:rsidR="00B11224" w:rsidRPr="00D93BA5" w:rsidRDefault="00B11224" w:rsidP="006317A6">
      <w:pPr>
        <w:pStyle w:val="NoSpacing"/>
        <w:rPr>
          <w:rFonts w:ascii="Times New Roman" w:hAnsi="Times New Roman" w:cs="Times New Roman"/>
          <w:sz w:val="24"/>
          <w:szCs w:val="24"/>
        </w:rPr>
      </w:pPr>
    </w:p>
    <w:p w14:paraId="5AD346A8" w14:textId="267D2D88" w:rsidR="00B11224" w:rsidRPr="00D93BA5" w:rsidRDefault="00B11224" w:rsidP="00B11224">
      <w:pPr>
        <w:pStyle w:val="NoSpacing"/>
        <w:rPr>
          <w:rFonts w:ascii="Times New Roman" w:hAnsi="Times New Roman" w:cs="Times New Roman"/>
          <w:sz w:val="24"/>
          <w:szCs w:val="24"/>
        </w:rPr>
      </w:pPr>
      <w:r w:rsidRPr="00D93BA5">
        <w:rPr>
          <w:rFonts w:ascii="Times New Roman" w:hAnsi="Times New Roman" w:cs="Times New Roman"/>
          <w:sz w:val="24"/>
          <w:szCs w:val="24"/>
        </w:rPr>
        <w:t xml:space="preserve">Moreover, we have serious concerns about the material itself. Past research and experience has demonstrated to our members that amorphous steel cores are brittle and can fragment easily. Our members have seen these cores damaged during construction and during faults such as lightning strikes. When these units are damaged, it is nearly impossible to repair them. Ultimately this results in more material and operational costs to electric cooperatives that </w:t>
      </w:r>
      <w:r w:rsidR="002D3CE3" w:rsidRPr="00D93BA5">
        <w:rPr>
          <w:rFonts w:ascii="Times New Roman" w:hAnsi="Times New Roman" w:cs="Times New Roman"/>
          <w:sz w:val="24"/>
          <w:szCs w:val="24"/>
        </w:rPr>
        <w:t>must</w:t>
      </w:r>
      <w:r w:rsidRPr="00D93BA5">
        <w:rPr>
          <w:rFonts w:ascii="Times New Roman" w:hAnsi="Times New Roman" w:cs="Times New Roman"/>
          <w:sz w:val="24"/>
          <w:szCs w:val="24"/>
        </w:rPr>
        <w:t xml:space="preserve"> replace damaged equipment. </w:t>
      </w:r>
      <w:r w:rsidR="00650BAC" w:rsidRPr="00D93BA5">
        <w:rPr>
          <w:rFonts w:ascii="Times New Roman" w:hAnsi="Times New Roman" w:cs="Times New Roman"/>
          <w:sz w:val="24"/>
          <w:szCs w:val="24"/>
        </w:rPr>
        <w:t xml:space="preserve">Our members also cite concerns regarding the potential for ferroresonance, which can result in transformer damage and create other problems during restoration of power in an outage. </w:t>
      </w:r>
      <w:r w:rsidRPr="00D93BA5">
        <w:rPr>
          <w:rFonts w:ascii="Times New Roman" w:hAnsi="Times New Roman" w:cs="Times New Roman"/>
          <w:sz w:val="24"/>
          <w:szCs w:val="24"/>
        </w:rPr>
        <w:t xml:space="preserve">While </w:t>
      </w:r>
      <w:r w:rsidR="00042E14" w:rsidRPr="00D93BA5">
        <w:rPr>
          <w:rFonts w:ascii="Times New Roman" w:hAnsi="Times New Roman" w:cs="Times New Roman"/>
          <w:sz w:val="24"/>
          <w:szCs w:val="24"/>
        </w:rPr>
        <w:t xml:space="preserve">there may be </w:t>
      </w:r>
      <w:r w:rsidRPr="00D93BA5">
        <w:rPr>
          <w:rFonts w:ascii="Times New Roman" w:hAnsi="Times New Roman" w:cs="Times New Roman"/>
          <w:sz w:val="24"/>
          <w:szCs w:val="24"/>
        </w:rPr>
        <w:t>advance</w:t>
      </w:r>
      <w:r w:rsidR="00042E14" w:rsidRPr="00D93BA5">
        <w:rPr>
          <w:rFonts w:ascii="Times New Roman" w:hAnsi="Times New Roman" w:cs="Times New Roman"/>
          <w:sz w:val="24"/>
          <w:szCs w:val="24"/>
        </w:rPr>
        <w:t xml:space="preserve">s </w:t>
      </w:r>
      <w:r w:rsidRPr="00D93BA5">
        <w:rPr>
          <w:rFonts w:ascii="Times New Roman" w:hAnsi="Times New Roman" w:cs="Times New Roman"/>
          <w:sz w:val="24"/>
          <w:szCs w:val="24"/>
        </w:rPr>
        <w:t>in the technology</w:t>
      </w:r>
      <w:r w:rsidR="00042E14" w:rsidRPr="00D93BA5">
        <w:rPr>
          <w:rFonts w:ascii="Times New Roman" w:hAnsi="Times New Roman" w:cs="Times New Roman"/>
          <w:sz w:val="24"/>
          <w:szCs w:val="24"/>
        </w:rPr>
        <w:t xml:space="preserve"> to address these concerns</w:t>
      </w:r>
      <w:r w:rsidRPr="00D93BA5">
        <w:rPr>
          <w:rFonts w:ascii="Times New Roman" w:hAnsi="Times New Roman" w:cs="Times New Roman"/>
          <w:sz w:val="24"/>
          <w:szCs w:val="24"/>
        </w:rPr>
        <w:t xml:space="preserve">, more operational experience is needed prior to </w:t>
      </w:r>
      <w:r w:rsidR="002D3CE3" w:rsidRPr="00D93BA5">
        <w:rPr>
          <w:rFonts w:ascii="Times New Roman" w:hAnsi="Times New Roman" w:cs="Times New Roman"/>
          <w:sz w:val="24"/>
          <w:szCs w:val="24"/>
        </w:rPr>
        <w:t>mandating a shift to amorphous steel core transformers</w:t>
      </w:r>
      <w:r w:rsidRPr="00D93BA5">
        <w:rPr>
          <w:rFonts w:ascii="Times New Roman" w:hAnsi="Times New Roman" w:cs="Times New Roman"/>
          <w:sz w:val="24"/>
          <w:szCs w:val="24"/>
        </w:rPr>
        <w:t>. DOE should consider how to support pilot</w:t>
      </w:r>
      <w:r w:rsidR="00042E14" w:rsidRPr="00D93BA5">
        <w:rPr>
          <w:rFonts w:ascii="Times New Roman" w:hAnsi="Times New Roman" w:cs="Times New Roman"/>
          <w:sz w:val="24"/>
          <w:szCs w:val="24"/>
        </w:rPr>
        <w:t xml:space="preserve"> programs</w:t>
      </w:r>
      <w:r w:rsidRPr="00D93BA5">
        <w:rPr>
          <w:rFonts w:ascii="Times New Roman" w:hAnsi="Times New Roman" w:cs="Times New Roman"/>
          <w:sz w:val="24"/>
          <w:szCs w:val="24"/>
        </w:rPr>
        <w:t xml:space="preserve"> with utilities </w:t>
      </w:r>
      <w:r w:rsidR="002D3CE3" w:rsidRPr="00D93BA5">
        <w:rPr>
          <w:rFonts w:ascii="Times New Roman" w:hAnsi="Times New Roman" w:cs="Times New Roman"/>
          <w:sz w:val="24"/>
          <w:szCs w:val="24"/>
        </w:rPr>
        <w:t xml:space="preserve">to gain more operating experience </w:t>
      </w:r>
      <w:r w:rsidRPr="00D93BA5">
        <w:rPr>
          <w:rFonts w:ascii="Times New Roman" w:hAnsi="Times New Roman" w:cs="Times New Roman"/>
          <w:sz w:val="24"/>
          <w:szCs w:val="24"/>
        </w:rPr>
        <w:t xml:space="preserve">and provide opportunities for utilities to participate in research at the national labs </w:t>
      </w:r>
      <w:r w:rsidR="002D3CE3" w:rsidRPr="00D93BA5">
        <w:rPr>
          <w:rFonts w:ascii="Times New Roman" w:hAnsi="Times New Roman" w:cs="Times New Roman"/>
          <w:sz w:val="24"/>
          <w:szCs w:val="24"/>
        </w:rPr>
        <w:t>to address these concerns</w:t>
      </w:r>
      <w:r w:rsidRPr="00D93BA5">
        <w:rPr>
          <w:rFonts w:ascii="Times New Roman" w:hAnsi="Times New Roman" w:cs="Times New Roman"/>
          <w:sz w:val="24"/>
          <w:szCs w:val="24"/>
        </w:rPr>
        <w:t xml:space="preserve">. </w:t>
      </w:r>
      <w:r w:rsidR="002D3CE3" w:rsidRPr="00D93BA5">
        <w:rPr>
          <w:rFonts w:ascii="Times New Roman" w:hAnsi="Times New Roman" w:cs="Times New Roman"/>
          <w:sz w:val="24"/>
          <w:szCs w:val="24"/>
        </w:rPr>
        <w:t>Finally, w</w:t>
      </w:r>
      <w:r w:rsidRPr="00D93BA5">
        <w:rPr>
          <w:rFonts w:ascii="Times New Roman" w:hAnsi="Times New Roman" w:cs="Times New Roman"/>
          <w:sz w:val="24"/>
          <w:szCs w:val="24"/>
        </w:rPr>
        <w:t xml:space="preserve">e urge DOE to consider more </w:t>
      </w:r>
      <w:r w:rsidR="002D3CE3" w:rsidRPr="00D93BA5">
        <w:rPr>
          <w:rFonts w:ascii="Times New Roman" w:hAnsi="Times New Roman" w:cs="Times New Roman"/>
          <w:sz w:val="24"/>
          <w:szCs w:val="24"/>
        </w:rPr>
        <w:t>long-term</w:t>
      </w:r>
      <w:r w:rsidRPr="00D93BA5">
        <w:rPr>
          <w:rFonts w:ascii="Times New Roman" w:hAnsi="Times New Roman" w:cs="Times New Roman"/>
          <w:sz w:val="24"/>
          <w:szCs w:val="24"/>
        </w:rPr>
        <w:t xml:space="preserve"> research as to whether the amorphous steel cores maintain their improved </w:t>
      </w:r>
      <w:r w:rsidR="002D3CE3" w:rsidRPr="00D93BA5">
        <w:rPr>
          <w:rFonts w:ascii="Times New Roman" w:hAnsi="Times New Roman" w:cs="Times New Roman"/>
          <w:sz w:val="24"/>
          <w:szCs w:val="24"/>
        </w:rPr>
        <w:t xml:space="preserve">no load </w:t>
      </w:r>
      <w:r w:rsidRPr="00D93BA5">
        <w:rPr>
          <w:rFonts w:ascii="Times New Roman" w:hAnsi="Times New Roman" w:cs="Times New Roman"/>
          <w:sz w:val="24"/>
          <w:szCs w:val="24"/>
        </w:rPr>
        <w:t xml:space="preserve">losses over time. </w:t>
      </w:r>
    </w:p>
    <w:p w14:paraId="52A26B85" w14:textId="2A6FC7AD" w:rsidR="006317A6" w:rsidRPr="00D93BA5" w:rsidRDefault="006317A6" w:rsidP="006317A6">
      <w:pPr>
        <w:pStyle w:val="NoSpacing"/>
        <w:rPr>
          <w:rFonts w:ascii="Times New Roman" w:hAnsi="Times New Roman" w:cs="Times New Roman"/>
          <w:sz w:val="24"/>
          <w:szCs w:val="24"/>
        </w:rPr>
      </w:pPr>
    </w:p>
    <w:p w14:paraId="3C03AE59" w14:textId="598A9F07" w:rsidR="006317A6" w:rsidRPr="00D93BA5" w:rsidRDefault="00042E14" w:rsidP="006317A6">
      <w:pPr>
        <w:pStyle w:val="NoSpacing"/>
        <w:rPr>
          <w:rFonts w:ascii="Times New Roman" w:hAnsi="Times New Roman" w:cs="Times New Roman"/>
          <w:b/>
          <w:bCs/>
          <w:sz w:val="24"/>
          <w:szCs w:val="24"/>
        </w:rPr>
      </w:pPr>
      <w:r w:rsidRPr="00D93BA5">
        <w:rPr>
          <w:rFonts w:ascii="Times New Roman" w:hAnsi="Times New Roman" w:cs="Times New Roman"/>
          <w:b/>
          <w:bCs/>
          <w:sz w:val="24"/>
          <w:szCs w:val="24"/>
        </w:rPr>
        <w:t>Forcing the industry to m</w:t>
      </w:r>
      <w:r w:rsidR="006317A6" w:rsidRPr="00D93BA5">
        <w:rPr>
          <w:rFonts w:ascii="Times New Roman" w:hAnsi="Times New Roman" w:cs="Times New Roman"/>
          <w:b/>
          <w:bCs/>
          <w:sz w:val="24"/>
          <w:szCs w:val="24"/>
        </w:rPr>
        <w:t>ov</w:t>
      </w:r>
      <w:r w:rsidRPr="00D93BA5">
        <w:rPr>
          <w:rFonts w:ascii="Times New Roman" w:hAnsi="Times New Roman" w:cs="Times New Roman"/>
          <w:b/>
          <w:bCs/>
          <w:sz w:val="24"/>
          <w:szCs w:val="24"/>
        </w:rPr>
        <w:t xml:space="preserve">e </w:t>
      </w:r>
      <w:r w:rsidR="006317A6" w:rsidRPr="00D93BA5">
        <w:rPr>
          <w:rFonts w:ascii="Times New Roman" w:hAnsi="Times New Roman" w:cs="Times New Roman"/>
          <w:b/>
          <w:bCs/>
          <w:sz w:val="24"/>
          <w:szCs w:val="24"/>
        </w:rPr>
        <w:t>to amorphous steel core transformers will require several changes to utility operations and impose significant burden in terms of cost and redesign of other equipment.</w:t>
      </w:r>
    </w:p>
    <w:p w14:paraId="74446EC9" w14:textId="77777777" w:rsidR="006317A6" w:rsidRPr="00D93BA5" w:rsidRDefault="006317A6" w:rsidP="006317A6">
      <w:pPr>
        <w:pStyle w:val="NoSpacing"/>
        <w:rPr>
          <w:rFonts w:ascii="Times New Roman" w:hAnsi="Times New Roman" w:cs="Times New Roman"/>
          <w:sz w:val="24"/>
          <w:szCs w:val="24"/>
        </w:rPr>
      </w:pPr>
    </w:p>
    <w:p w14:paraId="005B08CA" w14:textId="5FC7DE41" w:rsidR="006317A6" w:rsidRPr="00D93BA5" w:rsidRDefault="00F56E47"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Electric cooperatives will face significant challenges that the DOE NOPR fails to adequately account for, and if DOE incorporate</w:t>
      </w:r>
      <w:r w:rsidR="009164AC" w:rsidRPr="00D93BA5">
        <w:rPr>
          <w:rFonts w:ascii="Times New Roman" w:hAnsi="Times New Roman" w:cs="Times New Roman"/>
          <w:sz w:val="24"/>
          <w:szCs w:val="24"/>
        </w:rPr>
        <w:t>s</w:t>
      </w:r>
      <w:r w:rsidRPr="00D93BA5">
        <w:rPr>
          <w:rFonts w:ascii="Times New Roman" w:hAnsi="Times New Roman" w:cs="Times New Roman"/>
          <w:sz w:val="24"/>
          <w:szCs w:val="24"/>
        </w:rPr>
        <w:t xml:space="preserve"> all of these potential issues</w:t>
      </w:r>
      <w:r w:rsidR="00271FE9" w:rsidRPr="00D93BA5">
        <w:rPr>
          <w:rFonts w:ascii="Times New Roman" w:hAnsi="Times New Roman" w:cs="Times New Roman"/>
          <w:sz w:val="24"/>
          <w:szCs w:val="24"/>
        </w:rPr>
        <w:t>,</w:t>
      </w:r>
      <w:r w:rsidRPr="00D93BA5">
        <w:rPr>
          <w:rFonts w:ascii="Times New Roman" w:hAnsi="Times New Roman" w:cs="Times New Roman"/>
          <w:sz w:val="24"/>
          <w:szCs w:val="24"/>
        </w:rPr>
        <w:t xml:space="preserve"> </w:t>
      </w:r>
      <w:r w:rsidR="009164AC" w:rsidRPr="00D93BA5">
        <w:rPr>
          <w:rFonts w:ascii="Times New Roman" w:hAnsi="Times New Roman" w:cs="Times New Roman"/>
          <w:sz w:val="24"/>
          <w:szCs w:val="24"/>
        </w:rPr>
        <w:t>its analysis would show that the standard proposed in the NOPR</w:t>
      </w:r>
      <w:r w:rsidRPr="00D93BA5">
        <w:rPr>
          <w:rFonts w:ascii="Times New Roman" w:hAnsi="Times New Roman" w:cs="Times New Roman"/>
          <w:sz w:val="24"/>
          <w:szCs w:val="24"/>
        </w:rPr>
        <w:t xml:space="preserve"> is not economically justified. </w:t>
      </w:r>
      <w:r w:rsidR="006317A6" w:rsidRPr="00D93BA5">
        <w:rPr>
          <w:rFonts w:ascii="Times New Roman" w:hAnsi="Times New Roman" w:cs="Times New Roman"/>
          <w:sz w:val="24"/>
          <w:szCs w:val="24"/>
        </w:rPr>
        <w:t>The increased weight and size of amorphous steel core transformers</w:t>
      </w:r>
      <w:r w:rsidR="00271FE9" w:rsidRPr="00D93BA5">
        <w:rPr>
          <w:rFonts w:ascii="Times New Roman" w:hAnsi="Times New Roman" w:cs="Times New Roman"/>
          <w:sz w:val="24"/>
          <w:szCs w:val="24"/>
        </w:rPr>
        <w:t>, in addition to other factors,</w:t>
      </w:r>
      <w:r w:rsidR="006317A6" w:rsidRPr="00D93BA5">
        <w:rPr>
          <w:rFonts w:ascii="Times New Roman" w:hAnsi="Times New Roman" w:cs="Times New Roman"/>
          <w:sz w:val="24"/>
          <w:szCs w:val="24"/>
        </w:rPr>
        <w:t xml:space="preserve"> means that significant changes to utility operations need to be addressed, all</w:t>
      </w:r>
      <w:r w:rsidR="00E01A97" w:rsidRPr="00D93BA5">
        <w:rPr>
          <w:rFonts w:ascii="Times New Roman" w:hAnsi="Times New Roman" w:cs="Times New Roman"/>
          <w:sz w:val="24"/>
          <w:szCs w:val="24"/>
        </w:rPr>
        <w:t xml:space="preserve"> of which</w:t>
      </w:r>
      <w:r w:rsidR="006317A6" w:rsidRPr="00D93BA5">
        <w:rPr>
          <w:rFonts w:ascii="Times New Roman" w:hAnsi="Times New Roman" w:cs="Times New Roman"/>
          <w:sz w:val="24"/>
          <w:szCs w:val="24"/>
        </w:rPr>
        <w:t xml:space="preserve"> represent increased costs:</w:t>
      </w:r>
      <w:r w:rsidR="00877ADE">
        <w:rPr>
          <w:rStyle w:val="FootnoteReference"/>
          <w:rFonts w:ascii="Times New Roman" w:hAnsi="Times New Roman" w:cs="Times New Roman"/>
          <w:sz w:val="24"/>
          <w:szCs w:val="24"/>
        </w:rPr>
        <w:footnoteReference w:id="2"/>
      </w:r>
    </w:p>
    <w:p w14:paraId="66FF9FF5" w14:textId="24F3F75F" w:rsidR="007069A4" w:rsidRPr="00D93BA5" w:rsidRDefault="007069A4" w:rsidP="0021164B">
      <w:pPr>
        <w:pStyle w:val="ListParagraph"/>
        <w:numPr>
          <w:ilvl w:val="0"/>
          <w:numId w:val="18"/>
        </w:numPr>
        <w:spacing w:before="120"/>
        <w:contextualSpacing w:val="0"/>
      </w:pPr>
      <w:r w:rsidRPr="00D93BA5">
        <w:t>Significant increase in wood pole class and heights as well as the frequency at which pole</w:t>
      </w:r>
      <w:r w:rsidR="008E035D" w:rsidRPr="00D93BA5">
        <w:t xml:space="preserve"> </w:t>
      </w:r>
      <w:r w:rsidRPr="00D93BA5">
        <w:t xml:space="preserve">replacements are </w:t>
      </w:r>
      <w:r w:rsidR="00E01A97" w:rsidRPr="00D93BA5">
        <w:t>required.</w:t>
      </w:r>
      <w:r w:rsidR="00A222D3" w:rsidRPr="00D93BA5">
        <w:rPr>
          <w:rStyle w:val="FootnoteReference"/>
        </w:rPr>
        <w:footnoteReference w:id="3"/>
      </w:r>
      <w:r w:rsidRPr="00D93BA5">
        <w:t xml:space="preserve"> Overstressed poles may lead to failures sooner than anticipated. For utilities with low customer densities such as many electric cooperatives this would be very costly</w:t>
      </w:r>
      <w:r w:rsidR="00E01A97" w:rsidRPr="00D93BA5">
        <w:t xml:space="preserve"> as additional costs are collected from fewer consumer-members</w:t>
      </w:r>
      <w:r w:rsidRPr="00D93BA5">
        <w:t>.</w:t>
      </w:r>
    </w:p>
    <w:p w14:paraId="05A6D8CB" w14:textId="3198A763" w:rsidR="007069A4" w:rsidRPr="00D93BA5" w:rsidRDefault="009164AC" w:rsidP="0021164B">
      <w:pPr>
        <w:pStyle w:val="NoSpacing"/>
        <w:numPr>
          <w:ilvl w:val="0"/>
          <w:numId w:val="18"/>
        </w:numPr>
        <w:spacing w:before="120"/>
        <w:rPr>
          <w:rFonts w:ascii="Times New Roman" w:hAnsi="Times New Roman" w:cs="Times New Roman"/>
          <w:sz w:val="24"/>
          <w:szCs w:val="24"/>
        </w:rPr>
      </w:pPr>
      <w:r w:rsidRPr="00D93BA5">
        <w:rPr>
          <w:rFonts w:ascii="Times New Roman" w:hAnsi="Times New Roman" w:cs="Times New Roman"/>
          <w:sz w:val="24"/>
          <w:szCs w:val="24"/>
        </w:rPr>
        <w:t>H</w:t>
      </w:r>
      <w:r w:rsidR="007069A4" w:rsidRPr="00D93BA5">
        <w:rPr>
          <w:rFonts w:ascii="Times New Roman" w:hAnsi="Times New Roman" w:cs="Times New Roman"/>
          <w:sz w:val="24"/>
          <w:szCs w:val="24"/>
        </w:rPr>
        <w:t xml:space="preserve">igher rated equipment </w:t>
      </w:r>
      <w:r w:rsidRPr="00D93BA5">
        <w:rPr>
          <w:rFonts w:ascii="Times New Roman" w:hAnsi="Times New Roman" w:cs="Times New Roman"/>
          <w:sz w:val="24"/>
          <w:szCs w:val="24"/>
        </w:rPr>
        <w:t xml:space="preserve">required </w:t>
      </w:r>
      <w:r w:rsidR="007069A4" w:rsidRPr="00D93BA5">
        <w:rPr>
          <w:rFonts w:ascii="Times New Roman" w:hAnsi="Times New Roman" w:cs="Times New Roman"/>
          <w:sz w:val="24"/>
          <w:szCs w:val="24"/>
        </w:rPr>
        <w:t xml:space="preserve">to set </w:t>
      </w:r>
      <w:r w:rsidRPr="00D93BA5">
        <w:rPr>
          <w:rFonts w:ascii="Times New Roman" w:hAnsi="Times New Roman" w:cs="Times New Roman"/>
          <w:sz w:val="24"/>
          <w:szCs w:val="24"/>
        </w:rPr>
        <w:t xml:space="preserve">higher class </w:t>
      </w:r>
      <w:r w:rsidR="007069A4" w:rsidRPr="00D93BA5">
        <w:rPr>
          <w:rFonts w:ascii="Times New Roman" w:hAnsi="Times New Roman" w:cs="Times New Roman"/>
          <w:sz w:val="24"/>
          <w:szCs w:val="24"/>
        </w:rPr>
        <w:t>poles.</w:t>
      </w:r>
      <w:r w:rsidR="00A222D3" w:rsidRPr="00D93BA5">
        <w:rPr>
          <w:rStyle w:val="FootnoteReference"/>
          <w:rFonts w:ascii="Times New Roman" w:hAnsi="Times New Roman" w:cs="Times New Roman"/>
          <w:sz w:val="24"/>
          <w:szCs w:val="24"/>
        </w:rPr>
        <w:footnoteReference w:id="4"/>
      </w:r>
    </w:p>
    <w:p w14:paraId="2885F837" w14:textId="59CEA109" w:rsidR="007069A4" w:rsidRPr="00D93BA5" w:rsidRDefault="009164AC" w:rsidP="0021164B">
      <w:pPr>
        <w:pStyle w:val="NoSpacing"/>
        <w:numPr>
          <w:ilvl w:val="0"/>
          <w:numId w:val="18"/>
        </w:numPr>
        <w:spacing w:before="120"/>
        <w:rPr>
          <w:rFonts w:ascii="Times New Roman" w:hAnsi="Times New Roman" w:cs="Times New Roman"/>
          <w:sz w:val="24"/>
          <w:szCs w:val="24"/>
        </w:rPr>
      </w:pPr>
      <w:r w:rsidRPr="00D93BA5">
        <w:rPr>
          <w:rFonts w:ascii="Times New Roman" w:hAnsi="Times New Roman" w:cs="Times New Roman"/>
          <w:sz w:val="24"/>
          <w:szCs w:val="24"/>
        </w:rPr>
        <w:t>B</w:t>
      </w:r>
      <w:r w:rsidR="007069A4" w:rsidRPr="00D93BA5">
        <w:rPr>
          <w:rFonts w:ascii="Times New Roman" w:hAnsi="Times New Roman" w:cs="Times New Roman"/>
          <w:sz w:val="24"/>
          <w:szCs w:val="24"/>
        </w:rPr>
        <w:t>igger trucks and an increase in specialty lifting services</w:t>
      </w:r>
      <w:r w:rsidRPr="00D93BA5">
        <w:rPr>
          <w:rFonts w:ascii="Times New Roman" w:hAnsi="Times New Roman" w:cs="Times New Roman"/>
          <w:sz w:val="24"/>
          <w:szCs w:val="24"/>
        </w:rPr>
        <w:t xml:space="preserve"> would be required</w:t>
      </w:r>
      <w:r w:rsidR="007069A4" w:rsidRPr="00D93BA5">
        <w:rPr>
          <w:rFonts w:ascii="Times New Roman" w:hAnsi="Times New Roman" w:cs="Times New Roman"/>
          <w:sz w:val="24"/>
          <w:szCs w:val="24"/>
        </w:rPr>
        <w:t>, particularly in remote and hard</w:t>
      </w:r>
      <w:r w:rsidR="00271FE9" w:rsidRPr="00D93BA5">
        <w:rPr>
          <w:rFonts w:ascii="Times New Roman" w:hAnsi="Times New Roman" w:cs="Times New Roman"/>
          <w:sz w:val="24"/>
          <w:szCs w:val="24"/>
        </w:rPr>
        <w:t>-</w:t>
      </w:r>
      <w:r w:rsidR="007069A4" w:rsidRPr="00D93BA5">
        <w:rPr>
          <w:rFonts w:ascii="Times New Roman" w:hAnsi="Times New Roman" w:cs="Times New Roman"/>
          <w:sz w:val="24"/>
          <w:szCs w:val="24"/>
        </w:rPr>
        <w:t>to</w:t>
      </w:r>
      <w:r w:rsidR="00271FE9" w:rsidRPr="00D93BA5">
        <w:rPr>
          <w:rFonts w:ascii="Times New Roman" w:hAnsi="Times New Roman" w:cs="Times New Roman"/>
          <w:sz w:val="24"/>
          <w:szCs w:val="24"/>
        </w:rPr>
        <w:t>-</w:t>
      </w:r>
      <w:r w:rsidR="007069A4" w:rsidRPr="00D93BA5">
        <w:rPr>
          <w:rFonts w:ascii="Times New Roman" w:hAnsi="Times New Roman" w:cs="Times New Roman"/>
          <w:sz w:val="24"/>
          <w:szCs w:val="24"/>
        </w:rPr>
        <w:t>access locations.</w:t>
      </w:r>
      <w:r w:rsidR="00A222D3" w:rsidRPr="00D93BA5">
        <w:rPr>
          <w:rStyle w:val="FootnoteReference"/>
          <w:rFonts w:ascii="Times New Roman" w:hAnsi="Times New Roman" w:cs="Times New Roman"/>
          <w:sz w:val="24"/>
          <w:szCs w:val="24"/>
        </w:rPr>
        <w:footnoteReference w:id="5"/>
      </w:r>
      <w:r w:rsidR="007069A4" w:rsidRPr="00D93BA5">
        <w:rPr>
          <w:rFonts w:ascii="Times New Roman" w:hAnsi="Times New Roman" w:cs="Times New Roman"/>
          <w:sz w:val="24"/>
          <w:szCs w:val="24"/>
        </w:rPr>
        <w:t xml:space="preserve"> May</w:t>
      </w:r>
      <w:r w:rsidR="00271FE9" w:rsidRPr="00D93BA5">
        <w:rPr>
          <w:rFonts w:ascii="Times New Roman" w:hAnsi="Times New Roman" w:cs="Times New Roman"/>
          <w:sz w:val="24"/>
          <w:szCs w:val="24"/>
        </w:rPr>
        <w:t xml:space="preserve"> also</w:t>
      </w:r>
      <w:r w:rsidR="007069A4" w:rsidRPr="00D93BA5">
        <w:rPr>
          <w:rFonts w:ascii="Times New Roman" w:hAnsi="Times New Roman" w:cs="Times New Roman"/>
          <w:sz w:val="24"/>
          <w:szCs w:val="24"/>
        </w:rPr>
        <w:t xml:space="preserve"> require larger forklifts to accommodate </w:t>
      </w:r>
      <w:r w:rsidRPr="00D93BA5">
        <w:rPr>
          <w:rFonts w:ascii="Times New Roman" w:hAnsi="Times New Roman" w:cs="Times New Roman"/>
          <w:sz w:val="24"/>
          <w:szCs w:val="24"/>
        </w:rPr>
        <w:t xml:space="preserve">these transformers </w:t>
      </w:r>
      <w:r w:rsidR="007069A4" w:rsidRPr="00D93BA5">
        <w:rPr>
          <w:rFonts w:ascii="Times New Roman" w:hAnsi="Times New Roman" w:cs="Times New Roman"/>
          <w:sz w:val="24"/>
          <w:szCs w:val="24"/>
        </w:rPr>
        <w:t>in storage</w:t>
      </w:r>
      <w:r w:rsidRPr="00D93BA5">
        <w:rPr>
          <w:rFonts w:ascii="Times New Roman" w:hAnsi="Times New Roman" w:cs="Times New Roman"/>
          <w:sz w:val="24"/>
          <w:szCs w:val="24"/>
        </w:rPr>
        <w:t>.</w:t>
      </w:r>
    </w:p>
    <w:p w14:paraId="4CE481A6" w14:textId="6CD7A947" w:rsidR="006317A6" w:rsidRPr="00D93BA5" w:rsidRDefault="006317A6" w:rsidP="0021164B">
      <w:pPr>
        <w:pStyle w:val="NoSpacing"/>
        <w:numPr>
          <w:ilvl w:val="0"/>
          <w:numId w:val="18"/>
        </w:numPr>
        <w:spacing w:before="120"/>
        <w:rPr>
          <w:rFonts w:ascii="Times New Roman" w:hAnsi="Times New Roman" w:cs="Times New Roman"/>
          <w:sz w:val="24"/>
          <w:szCs w:val="24"/>
        </w:rPr>
      </w:pPr>
      <w:r w:rsidRPr="00D93BA5">
        <w:rPr>
          <w:rFonts w:ascii="Times New Roman" w:hAnsi="Times New Roman" w:cs="Times New Roman"/>
          <w:sz w:val="24"/>
          <w:szCs w:val="24"/>
        </w:rPr>
        <w:t>Oversized/heavier pad</w:t>
      </w:r>
      <w:r w:rsidR="007069A4" w:rsidRPr="00D93BA5">
        <w:rPr>
          <w:rFonts w:ascii="Times New Roman" w:hAnsi="Times New Roman" w:cs="Times New Roman"/>
          <w:sz w:val="24"/>
          <w:szCs w:val="24"/>
        </w:rPr>
        <w:t>-</w:t>
      </w:r>
      <w:r w:rsidRPr="00D93BA5">
        <w:rPr>
          <w:rFonts w:ascii="Times New Roman" w:hAnsi="Times New Roman" w:cs="Times New Roman"/>
          <w:sz w:val="24"/>
          <w:szCs w:val="24"/>
        </w:rPr>
        <w:t xml:space="preserve">mount units could cause cracks in foundations. </w:t>
      </w:r>
    </w:p>
    <w:p w14:paraId="1B29AE33" w14:textId="2D316287" w:rsidR="006317A6" w:rsidRPr="00D93BA5" w:rsidRDefault="009164AC" w:rsidP="0021164B">
      <w:pPr>
        <w:pStyle w:val="NoSpacing"/>
        <w:numPr>
          <w:ilvl w:val="0"/>
          <w:numId w:val="18"/>
        </w:numPr>
        <w:spacing w:before="120"/>
        <w:rPr>
          <w:rFonts w:ascii="Times New Roman" w:hAnsi="Times New Roman" w:cs="Times New Roman"/>
          <w:sz w:val="24"/>
          <w:szCs w:val="24"/>
        </w:rPr>
      </w:pPr>
      <w:r w:rsidRPr="00D93BA5">
        <w:rPr>
          <w:rFonts w:ascii="Times New Roman" w:hAnsi="Times New Roman" w:cs="Times New Roman"/>
          <w:sz w:val="24"/>
          <w:szCs w:val="24"/>
        </w:rPr>
        <w:lastRenderedPageBreak/>
        <w:t>N</w:t>
      </w:r>
      <w:r w:rsidR="006317A6" w:rsidRPr="00D93BA5">
        <w:rPr>
          <w:rFonts w:ascii="Times New Roman" w:hAnsi="Times New Roman" w:cs="Times New Roman"/>
          <w:sz w:val="24"/>
          <w:szCs w:val="24"/>
        </w:rPr>
        <w:t xml:space="preserve">ew processes </w:t>
      </w:r>
      <w:r w:rsidRPr="00D93BA5">
        <w:rPr>
          <w:rFonts w:ascii="Times New Roman" w:hAnsi="Times New Roman" w:cs="Times New Roman"/>
          <w:sz w:val="24"/>
          <w:szCs w:val="24"/>
        </w:rPr>
        <w:t xml:space="preserve">would need to be developed </w:t>
      </w:r>
      <w:r w:rsidR="006317A6" w:rsidRPr="00D93BA5">
        <w:rPr>
          <w:rFonts w:ascii="Times New Roman" w:hAnsi="Times New Roman" w:cs="Times New Roman"/>
          <w:sz w:val="24"/>
          <w:szCs w:val="24"/>
        </w:rPr>
        <w:t xml:space="preserve">for design to determine the best locations for using amorphous </w:t>
      </w:r>
      <w:r w:rsidRPr="00D93BA5">
        <w:rPr>
          <w:rFonts w:ascii="Times New Roman" w:hAnsi="Times New Roman" w:cs="Times New Roman"/>
          <w:sz w:val="24"/>
          <w:szCs w:val="24"/>
        </w:rPr>
        <w:t xml:space="preserve">steel </w:t>
      </w:r>
      <w:r w:rsidR="006317A6" w:rsidRPr="00D93BA5">
        <w:rPr>
          <w:rFonts w:ascii="Times New Roman" w:hAnsi="Times New Roman" w:cs="Times New Roman"/>
          <w:sz w:val="24"/>
          <w:szCs w:val="24"/>
        </w:rPr>
        <w:t>core transformers</w:t>
      </w:r>
      <w:r w:rsidR="000A0F54" w:rsidRPr="00D93BA5">
        <w:rPr>
          <w:rFonts w:ascii="Times New Roman" w:hAnsi="Times New Roman" w:cs="Times New Roman"/>
          <w:sz w:val="24"/>
          <w:szCs w:val="24"/>
        </w:rPr>
        <w:t xml:space="preserve"> and </w:t>
      </w:r>
      <w:r w:rsidR="006317A6" w:rsidRPr="00D93BA5">
        <w:rPr>
          <w:rFonts w:ascii="Times New Roman" w:hAnsi="Times New Roman" w:cs="Times New Roman"/>
          <w:sz w:val="24"/>
          <w:szCs w:val="24"/>
        </w:rPr>
        <w:t>new inventory processes to store, track and manage this new</w:t>
      </w:r>
      <w:r w:rsidR="000A0F54" w:rsidRPr="00D93BA5">
        <w:rPr>
          <w:rFonts w:ascii="Times New Roman" w:hAnsi="Times New Roman" w:cs="Times New Roman"/>
          <w:sz w:val="24"/>
          <w:szCs w:val="24"/>
        </w:rPr>
        <w:t xml:space="preserve"> </w:t>
      </w:r>
      <w:r w:rsidR="006317A6" w:rsidRPr="00D93BA5">
        <w:rPr>
          <w:rFonts w:ascii="Times New Roman" w:hAnsi="Times New Roman" w:cs="Times New Roman"/>
          <w:sz w:val="24"/>
          <w:szCs w:val="24"/>
        </w:rPr>
        <w:t>type of transformer</w:t>
      </w:r>
      <w:r w:rsidRPr="00D93BA5">
        <w:rPr>
          <w:rFonts w:ascii="Times New Roman" w:hAnsi="Times New Roman" w:cs="Times New Roman"/>
          <w:sz w:val="24"/>
          <w:szCs w:val="24"/>
        </w:rPr>
        <w:t>.</w:t>
      </w:r>
    </w:p>
    <w:p w14:paraId="651A66B8" w14:textId="0FDA7BEC" w:rsidR="006317A6" w:rsidRPr="00D93BA5" w:rsidRDefault="007069A4" w:rsidP="0021164B">
      <w:pPr>
        <w:pStyle w:val="NoSpacing"/>
        <w:numPr>
          <w:ilvl w:val="0"/>
          <w:numId w:val="18"/>
        </w:numPr>
        <w:spacing w:before="120"/>
        <w:rPr>
          <w:rFonts w:ascii="Times New Roman" w:hAnsi="Times New Roman" w:cs="Times New Roman"/>
          <w:sz w:val="24"/>
          <w:szCs w:val="24"/>
        </w:rPr>
      </w:pPr>
      <w:r w:rsidRPr="00D93BA5">
        <w:rPr>
          <w:rFonts w:ascii="Times New Roman" w:hAnsi="Times New Roman" w:cs="Times New Roman"/>
          <w:sz w:val="24"/>
          <w:szCs w:val="24"/>
        </w:rPr>
        <w:t>Louder n</w:t>
      </w:r>
      <w:r w:rsidR="006317A6" w:rsidRPr="00D93BA5">
        <w:rPr>
          <w:rFonts w:ascii="Times New Roman" w:hAnsi="Times New Roman" w:cs="Times New Roman"/>
          <w:sz w:val="24"/>
          <w:szCs w:val="24"/>
        </w:rPr>
        <w:t>oise</w:t>
      </w:r>
      <w:r w:rsidR="00E01A97" w:rsidRPr="00D93BA5">
        <w:rPr>
          <w:rFonts w:ascii="Times New Roman" w:hAnsi="Times New Roman" w:cs="Times New Roman"/>
          <w:sz w:val="24"/>
          <w:szCs w:val="24"/>
        </w:rPr>
        <w:t xml:space="preserve"> from the transformer leading to potential consumer-member complaints.</w:t>
      </w:r>
    </w:p>
    <w:p w14:paraId="73CF0742" w14:textId="2EA12CAD" w:rsidR="006317A6" w:rsidRPr="00D93BA5" w:rsidRDefault="006317A6" w:rsidP="0021164B">
      <w:pPr>
        <w:pStyle w:val="NoSpacing"/>
        <w:numPr>
          <w:ilvl w:val="0"/>
          <w:numId w:val="18"/>
        </w:numPr>
        <w:spacing w:before="120"/>
        <w:rPr>
          <w:rFonts w:ascii="Times New Roman" w:hAnsi="Times New Roman" w:cs="Times New Roman"/>
          <w:sz w:val="24"/>
          <w:szCs w:val="24"/>
        </w:rPr>
      </w:pPr>
      <w:r w:rsidRPr="00D93BA5">
        <w:rPr>
          <w:rFonts w:ascii="Times New Roman" w:hAnsi="Times New Roman" w:cs="Times New Roman"/>
          <w:sz w:val="24"/>
          <w:szCs w:val="24"/>
        </w:rPr>
        <w:t>Additional storage space required</w:t>
      </w:r>
      <w:r w:rsidR="007069A4" w:rsidRPr="00D93BA5">
        <w:rPr>
          <w:rFonts w:ascii="Times New Roman" w:hAnsi="Times New Roman" w:cs="Times New Roman"/>
          <w:sz w:val="24"/>
          <w:szCs w:val="24"/>
        </w:rPr>
        <w:t xml:space="preserve"> for larger transformers</w:t>
      </w:r>
      <w:r w:rsidR="00271FE9" w:rsidRPr="00D93BA5">
        <w:rPr>
          <w:rFonts w:ascii="Times New Roman" w:hAnsi="Times New Roman" w:cs="Times New Roman"/>
          <w:sz w:val="24"/>
          <w:szCs w:val="24"/>
        </w:rPr>
        <w:t>.</w:t>
      </w:r>
    </w:p>
    <w:p w14:paraId="213249BF" w14:textId="61A0288D" w:rsidR="007069A4" w:rsidRPr="00D93BA5" w:rsidRDefault="009164AC" w:rsidP="0021164B">
      <w:pPr>
        <w:pStyle w:val="NoSpacing"/>
        <w:numPr>
          <w:ilvl w:val="0"/>
          <w:numId w:val="18"/>
        </w:numPr>
        <w:spacing w:before="120"/>
        <w:rPr>
          <w:rFonts w:ascii="Times New Roman" w:hAnsi="Times New Roman" w:cs="Times New Roman"/>
          <w:sz w:val="24"/>
          <w:szCs w:val="24"/>
        </w:rPr>
      </w:pPr>
      <w:r w:rsidRPr="00D93BA5">
        <w:rPr>
          <w:rFonts w:ascii="Times New Roman" w:hAnsi="Times New Roman" w:cs="Times New Roman"/>
          <w:sz w:val="24"/>
          <w:szCs w:val="24"/>
        </w:rPr>
        <w:t>Existing t</w:t>
      </w:r>
      <w:r w:rsidR="007069A4" w:rsidRPr="00D93BA5">
        <w:rPr>
          <w:rFonts w:ascii="Times New Roman" w:hAnsi="Times New Roman" w:cs="Times New Roman"/>
          <w:sz w:val="24"/>
          <w:szCs w:val="24"/>
        </w:rPr>
        <w:t>rucks cannot carry as many of these large</w:t>
      </w:r>
      <w:r w:rsidRPr="00D93BA5">
        <w:rPr>
          <w:rFonts w:ascii="Times New Roman" w:hAnsi="Times New Roman" w:cs="Times New Roman"/>
          <w:sz w:val="24"/>
          <w:szCs w:val="24"/>
        </w:rPr>
        <w:t>r</w:t>
      </w:r>
      <w:r w:rsidR="007069A4" w:rsidRPr="00D93BA5">
        <w:rPr>
          <w:rFonts w:ascii="Times New Roman" w:hAnsi="Times New Roman" w:cs="Times New Roman"/>
          <w:sz w:val="24"/>
          <w:szCs w:val="24"/>
        </w:rPr>
        <w:t xml:space="preserve"> transformers, therefore greater fuel use (and emissions) from additional required trips to transport</w:t>
      </w:r>
      <w:r w:rsidRPr="00D93BA5">
        <w:rPr>
          <w:rFonts w:ascii="Times New Roman" w:hAnsi="Times New Roman" w:cs="Times New Roman"/>
          <w:sz w:val="24"/>
          <w:szCs w:val="24"/>
        </w:rPr>
        <w:t>, leading to overall higher transportation costs</w:t>
      </w:r>
      <w:r w:rsidR="00271FE9" w:rsidRPr="00D93BA5">
        <w:rPr>
          <w:rFonts w:ascii="Times New Roman" w:hAnsi="Times New Roman" w:cs="Times New Roman"/>
          <w:sz w:val="24"/>
          <w:szCs w:val="24"/>
        </w:rPr>
        <w:t>.</w:t>
      </w:r>
      <w:r w:rsidR="00A222D3" w:rsidRPr="00D93BA5">
        <w:rPr>
          <w:rStyle w:val="FootnoteReference"/>
          <w:rFonts w:ascii="Times New Roman" w:hAnsi="Times New Roman" w:cs="Times New Roman"/>
          <w:sz w:val="24"/>
          <w:szCs w:val="24"/>
        </w:rPr>
        <w:footnoteReference w:id="6"/>
      </w:r>
    </w:p>
    <w:p w14:paraId="685664B0" w14:textId="2732D0EA" w:rsidR="006317A6" w:rsidRPr="00D93BA5" w:rsidRDefault="006317A6" w:rsidP="0021164B">
      <w:pPr>
        <w:pStyle w:val="NoSpacing"/>
        <w:numPr>
          <w:ilvl w:val="0"/>
          <w:numId w:val="18"/>
        </w:numPr>
        <w:spacing w:before="120"/>
        <w:rPr>
          <w:rFonts w:ascii="Times New Roman" w:hAnsi="Times New Roman" w:cs="Times New Roman"/>
          <w:sz w:val="24"/>
          <w:szCs w:val="24"/>
        </w:rPr>
      </w:pPr>
      <w:r w:rsidRPr="00D93BA5">
        <w:rPr>
          <w:rFonts w:ascii="Times New Roman" w:hAnsi="Times New Roman" w:cs="Times New Roman"/>
          <w:sz w:val="24"/>
          <w:szCs w:val="24"/>
        </w:rPr>
        <w:t>Equipment purchases needed to facilitate movement, transportation, and installation</w:t>
      </w:r>
      <w:r w:rsidR="00271FE9" w:rsidRPr="00D93BA5">
        <w:rPr>
          <w:rFonts w:ascii="Times New Roman" w:hAnsi="Times New Roman" w:cs="Times New Roman"/>
          <w:sz w:val="24"/>
          <w:szCs w:val="24"/>
        </w:rPr>
        <w:t>.</w:t>
      </w:r>
    </w:p>
    <w:p w14:paraId="522DE500" w14:textId="658D041D" w:rsidR="006317A6" w:rsidRPr="00D93BA5" w:rsidRDefault="007069A4" w:rsidP="0021164B">
      <w:pPr>
        <w:pStyle w:val="NoSpacing"/>
        <w:numPr>
          <w:ilvl w:val="0"/>
          <w:numId w:val="18"/>
        </w:numPr>
        <w:spacing w:before="120"/>
        <w:rPr>
          <w:rFonts w:ascii="Times New Roman" w:hAnsi="Times New Roman" w:cs="Times New Roman"/>
          <w:sz w:val="24"/>
          <w:szCs w:val="24"/>
        </w:rPr>
      </w:pPr>
      <w:r w:rsidRPr="00D93BA5">
        <w:rPr>
          <w:rFonts w:ascii="Times New Roman" w:hAnsi="Times New Roman" w:cs="Times New Roman"/>
          <w:sz w:val="24"/>
          <w:szCs w:val="24"/>
        </w:rPr>
        <w:t xml:space="preserve">Problems where </w:t>
      </w:r>
      <w:r w:rsidR="006317A6" w:rsidRPr="00D93BA5">
        <w:rPr>
          <w:rFonts w:ascii="Times New Roman" w:hAnsi="Times New Roman" w:cs="Times New Roman"/>
          <w:sz w:val="24"/>
          <w:szCs w:val="24"/>
        </w:rPr>
        <w:t>existing</w:t>
      </w:r>
      <w:r w:rsidRPr="00D93BA5">
        <w:rPr>
          <w:rFonts w:ascii="Times New Roman" w:hAnsi="Times New Roman" w:cs="Times New Roman"/>
          <w:sz w:val="24"/>
          <w:szCs w:val="24"/>
        </w:rPr>
        <w:t xml:space="preserve"> transformers have a defined vault and limited ingress/egress space available</w:t>
      </w:r>
      <w:r w:rsidR="00271FE9" w:rsidRPr="00D93BA5">
        <w:rPr>
          <w:rFonts w:ascii="Times New Roman" w:hAnsi="Times New Roman" w:cs="Times New Roman"/>
          <w:sz w:val="24"/>
          <w:szCs w:val="24"/>
        </w:rPr>
        <w:t>.</w:t>
      </w:r>
    </w:p>
    <w:p w14:paraId="6DE3AEFD" w14:textId="36B0316C" w:rsidR="004D0F5F" w:rsidRPr="00D93BA5" w:rsidRDefault="004D0F5F" w:rsidP="0021164B">
      <w:pPr>
        <w:pStyle w:val="NoSpacing"/>
        <w:numPr>
          <w:ilvl w:val="0"/>
          <w:numId w:val="18"/>
        </w:numPr>
        <w:spacing w:before="120"/>
        <w:rPr>
          <w:rFonts w:ascii="Times New Roman" w:hAnsi="Times New Roman" w:cs="Times New Roman"/>
          <w:sz w:val="24"/>
          <w:szCs w:val="24"/>
        </w:rPr>
      </w:pPr>
      <w:r w:rsidRPr="00D93BA5">
        <w:rPr>
          <w:rFonts w:ascii="Times New Roman" w:hAnsi="Times New Roman" w:cs="Times New Roman"/>
          <w:sz w:val="24"/>
          <w:szCs w:val="24"/>
        </w:rPr>
        <w:t>Poor overload capacity which could result in more damage to transformers or failures</w:t>
      </w:r>
      <w:r w:rsidRPr="00D93BA5">
        <w:rPr>
          <w:rStyle w:val="FootnoteReference"/>
          <w:rFonts w:ascii="Times New Roman" w:hAnsi="Times New Roman" w:cs="Times New Roman"/>
          <w:sz w:val="24"/>
          <w:szCs w:val="24"/>
        </w:rPr>
        <w:footnoteReference w:id="7"/>
      </w:r>
    </w:p>
    <w:p w14:paraId="7A8C7104" w14:textId="6BB1F319" w:rsidR="006317A6" w:rsidRPr="00D93BA5" w:rsidRDefault="006317A6" w:rsidP="0021164B">
      <w:pPr>
        <w:pStyle w:val="ListParagraph"/>
        <w:numPr>
          <w:ilvl w:val="0"/>
          <w:numId w:val="18"/>
        </w:numPr>
        <w:spacing w:before="120"/>
      </w:pPr>
      <w:r w:rsidRPr="00D93BA5">
        <w:t>Amorphous</w:t>
      </w:r>
      <w:r w:rsidR="009164AC" w:rsidRPr="00D93BA5">
        <w:t xml:space="preserve"> steel cores</w:t>
      </w:r>
      <w:r w:rsidRPr="00D93BA5">
        <w:t xml:space="preserve"> require more winding</w:t>
      </w:r>
      <w:r w:rsidR="00EB5088" w:rsidRPr="00D93BA5">
        <w:t>, resulting in the need for</w:t>
      </w:r>
      <w:r w:rsidRPr="00D93BA5">
        <w:t xml:space="preserve"> bigger conductor</w:t>
      </w:r>
      <w:r w:rsidR="00EB5088" w:rsidRPr="00D93BA5">
        <w:t xml:space="preserve"> and thicker</w:t>
      </w:r>
      <w:r w:rsidRPr="00D93BA5">
        <w:t xml:space="preserve"> trip secondaries </w:t>
      </w:r>
      <w:r w:rsidR="00EB5088" w:rsidRPr="00D93BA5">
        <w:t>than currently in use</w:t>
      </w:r>
      <w:r w:rsidR="00271FE9" w:rsidRPr="00D93BA5">
        <w:t>.</w:t>
      </w:r>
    </w:p>
    <w:p w14:paraId="4D81B492" w14:textId="77777777" w:rsidR="0021164B" w:rsidRPr="00D93BA5" w:rsidRDefault="0021164B" w:rsidP="006317A6">
      <w:pPr>
        <w:pStyle w:val="NoSpacing"/>
        <w:rPr>
          <w:rFonts w:ascii="Times New Roman" w:hAnsi="Times New Roman" w:cs="Times New Roman"/>
          <w:sz w:val="24"/>
          <w:szCs w:val="24"/>
        </w:rPr>
      </w:pPr>
    </w:p>
    <w:p w14:paraId="78D8AD19" w14:textId="74D01854" w:rsidR="006317A6" w:rsidRPr="00D93BA5" w:rsidRDefault="007069A4"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Electric cooperatives</w:t>
      </w:r>
      <w:r w:rsidR="006317A6" w:rsidRPr="00D93BA5">
        <w:rPr>
          <w:rFonts w:ascii="Times New Roman" w:hAnsi="Times New Roman" w:cs="Times New Roman"/>
          <w:sz w:val="24"/>
          <w:szCs w:val="24"/>
        </w:rPr>
        <w:t xml:space="preserve"> with experience utilizing amorphous steel </w:t>
      </w:r>
      <w:r w:rsidR="009572CE" w:rsidRPr="00D93BA5">
        <w:rPr>
          <w:rFonts w:ascii="Times New Roman" w:hAnsi="Times New Roman" w:cs="Times New Roman"/>
          <w:sz w:val="24"/>
          <w:szCs w:val="24"/>
        </w:rPr>
        <w:t xml:space="preserve">core </w:t>
      </w:r>
      <w:r w:rsidR="006317A6" w:rsidRPr="00D93BA5">
        <w:rPr>
          <w:rFonts w:ascii="Times New Roman" w:hAnsi="Times New Roman" w:cs="Times New Roman"/>
          <w:sz w:val="24"/>
          <w:szCs w:val="24"/>
        </w:rPr>
        <w:t>transformers in the field report that they more often led to broken wood poles, replacement transformers had long lead times, and to switch out amorphous transformers with new equipment required two trucks.</w:t>
      </w:r>
      <w:r w:rsidR="00C11D5E" w:rsidRPr="00D93BA5">
        <w:rPr>
          <w:rFonts w:ascii="Times New Roman" w:hAnsi="Times New Roman" w:cs="Times New Roman"/>
          <w:sz w:val="24"/>
          <w:szCs w:val="24"/>
        </w:rPr>
        <w:t xml:space="preserve"> Perhaps most concerning is that the ability of amorphous steel core transformers to withstand short circuit faults is low.</w:t>
      </w:r>
      <w:r w:rsidR="004D0F5F" w:rsidRPr="00D93BA5">
        <w:rPr>
          <w:rStyle w:val="FootnoteReference"/>
          <w:rFonts w:ascii="Times New Roman" w:hAnsi="Times New Roman" w:cs="Times New Roman"/>
          <w:sz w:val="24"/>
          <w:szCs w:val="24"/>
        </w:rPr>
        <w:footnoteReference w:id="8"/>
      </w:r>
      <w:r w:rsidR="00C11D5E" w:rsidRPr="00D93BA5">
        <w:rPr>
          <w:rFonts w:ascii="Times New Roman" w:hAnsi="Times New Roman" w:cs="Times New Roman"/>
          <w:sz w:val="24"/>
          <w:szCs w:val="24"/>
        </w:rPr>
        <w:t xml:space="preserve"> This is due to the rectangular shape of amorphous steel cores versus the traditional circular core shape because electromagnetic forces are no longer distributed evenly. This will lead to more outage time and damaged transformers for cooperatives, which will ultimately be very costly to their consumer-members at the end of the line. </w:t>
      </w:r>
    </w:p>
    <w:p w14:paraId="0C6938CE" w14:textId="3BB4F627" w:rsidR="00C11D5E" w:rsidRPr="00D93BA5" w:rsidRDefault="00C11D5E" w:rsidP="006317A6">
      <w:pPr>
        <w:pStyle w:val="NoSpacing"/>
        <w:rPr>
          <w:rFonts w:ascii="Times New Roman" w:hAnsi="Times New Roman" w:cs="Times New Roman"/>
          <w:sz w:val="24"/>
          <w:szCs w:val="24"/>
        </w:rPr>
      </w:pPr>
    </w:p>
    <w:p w14:paraId="2853FC4D" w14:textId="7063DFC7" w:rsidR="00C11D5E" w:rsidRPr="00D93BA5" w:rsidRDefault="009572CE"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Again, we expect more p</w:t>
      </w:r>
      <w:r w:rsidR="00C11D5E" w:rsidRPr="00D93BA5">
        <w:rPr>
          <w:rFonts w:ascii="Times New Roman" w:hAnsi="Times New Roman" w:cs="Times New Roman"/>
          <w:sz w:val="24"/>
          <w:szCs w:val="24"/>
        </w:rPr>
        <w:t>ole replacements will be needed. However, DOE’s analysis assumes like-for-like pole replacements which is misguided. Rather, we expect that more transformer replacements will be necessary to allow for greater capacity transformers due to electrification</w:t>
      </w:r>
      <w:r w:rsidR="006626F6" w:rsidRPr="00D93BA5">
        <w:rPr>
          <w:rFonts w:ascii="Times New Roman" w:hAnsi="Times New Roman" w:cs="Times New Roman"/>
          <w:sz w:val="24"/>
          <w:szCs w:val="24"/>
        </w:rPr>
        <w:t>,</w:t>
      </w:r>
      <w:r w:rsidR="00E01A97" w:rsidRPr="00D93BA5">
        <w:rPr>
          <w:rFonts w:ascii="Times New Roman" w:hAnsi="Times New Roman" w:cs="Times New Roman"/>
          <w:sz w:val="24"/>
          <w:szCs w:val="24"/>
        </w:rPr>
        <w:t xml:space="preserve"> thus requiring larger poles</w:t>
      </w:r>
      <w:r w:rsidR="00C11D5E" w:rsidRPr="00D93BA5">
        <w:rPr>
          <w:rFonts w:ascii="Times New Roman" w:hAnsi="Times New Roman" w:cs="Times New Roman"/>
          <w:sz w:val="24"/>
          <w:szCs w:val="24"/>
        </w:rPr>
        <w:t>.</w:t>
      </w:r>
      <w:r w:rsidR="000C254F" w:rsidRPr="00D93BA5">
        <w:rPr>
          <w:rStyle w:val="FootnoteReference"/>
          <w:rFonts w:ascii="Times New Roman" w:hAnsi="Times New Roman" w:cs="Times New Roman"/>
          <w:sz w:val="24"/>
          <w:szCs w:val="24"/>
        </w:rPr>
        <w:footnoteReference w:id="9"/>
      </w:r>
      <w:r w:rsidR="00C11D5E" w:rsidRPr="00D93BA5">
        <w:rPr>
          <w:rFonts w:ascii="Times New Roman" w:hAnsi="Times New Roman" w:cs="Times New Roman"/>
          <w:sz w:val="24"/>
          <w:szCs w:val="24"/>
        </w:rPr>
        <w:t xml:space="preserve"> </w:t>
      </w:r>
      <w:r w:rsidR="008D1636" w:rsidRPr="00D93BA5">
        <w:rPr>
          <w:rFonts w:ascii="Times New Roman" w:hAnsi="Times New Roman" w:cs="Times New Roman"/>
          <w:sz w:val="24"/>
          <w:szCs w:val="24"/>
        </w:rPr>
        <w:t xml:space="preserve">In some cases, where a pole’s design will not allow for heavier transformers, the cooperative will </w:t>
      </w:r>
      <w:r w:rsidR="008D1636" w:rsidRPr="00D93BA5">
        <w:rPr>
          <w:rFonts w:ascii="Times New Roman" w:hAnsi="Times New Roman" w:cs="Times New Roman"/>
          <w:sz w:val="24"/>
          <w:szCs w:val="24"/>
        </w:rPr>
        <w:lastRenderedPageBreak/>
        <w:t>be forced to convert to pad-mounted transformers.</w:t>
      </w:r>
      <w:r w:rsidR="00C11D5E" w:rsidRPr="00D93BA5">
        <w:rPr>
          <w:rFonts w:ascii="Times New Roman" w:hAnsi="Times New Roman" w:cs="Times New Roman"/>
          <w:sz w:val="24"/>
          <w:szCs w:val="24"/>
        </w:rPr>
        <w:t xml:space="preserve"> </w:t>
      </w:r>
      <w:r w:rsidR="008D1636" w:rsidRPr="00D93BA5">
        <w:rPr>
          <w:rFonts w:ascii="Times New Roman" w:hAnsi="Times New Roman" w:cs="Times New Roman"/>
          <w:sz w:val="24"/>
          <w:szCs w:val="24"/>
        </w:rPr>
        <w:t xml:space="preserve"> This type of swapping that will be necessary is not included in DOE’s analysis</w:t>
      </w:r>
      <w:r w:rsidR="00650BAC" w:rsidRPr="00D93BA5">
        <w:rPr>
          <w:rFonts w:ascii="Times New Roman" w:hAnsi="Times New Roman" w:cs="Times New Roman"/>
          <w:sz w:val="24"/>
          <w:szCs w:val="24"/>
        </w:rPr>
        <w:t xml:space="preserve"> including the higher installation costs that utilities will face</w:t>
      </w:r>
      <w:r w:rsidR="008D1636" w:rsidRPr="00D93BA5">
        <w:rPr>
          <w:rFonts w:ascii="Times New Roman" w:hAnsi="Times New Roman" w:cs="Times New Roman"/>
          <w:sz w:val="24"/>
          <w:szCs w:val="24"/>
        </w:rPr>
        <w:t>.</w:t>
      </w:r>
    </w:p>
    <w:p w14:paraId="79F22B8C" w14:textId="5A7D8FB8" w:rsidR="00C11D5E" w:rsidRPr="00D93BA5" w:rsidRDefault="00C11D5E" w:rsidP="006317A6">
      <w:pPr>
        <w:pStyle w:val="NoSpacing"/>
        <w:rPr>
          <w:rFonts w:ascii="Times New Roman" w:hAnsi="Times New Roman" w:cs="Times New Roman"/>
          <w:sz w:val="24"/>
          <w:szCs w:val="24"/>
        </w:rPr>
      </w:pPr>
    </w:p>
    <w:p w14:paraId="664C8350" w14:textId="77777777" w:rsidR="000C254F" w:rsidRPr="00D93BA5" w:rsidRDefault="00650BAC" w:rsidP="00A11838">
      <w:r w:rsidRPr="00D93BA5">
        <w:t xml:space="preserve">Many electric cooperatives are Rural Utilities Service (RUS) borrowers and thus use RUS Bulletin 1724D-107, “Guide for Economic Evaluation of Distribution Transformers,” to calculate the cost of owning a transformer over its useful life using the total owning cost (TOC) method. </w:t>
      </w:r>
      <w:r w:rsidR="00A11838" w:rsidRPr="00D93BA5">
        <w:t xml:space="preserve">Historically, cooperatives have widely used the TOC method to evaluate transformer purchases. </w:t>
      </w:r>
      <w:r w:rsidRPr="00D93BA5">
        <w:t>In more recent years, first cost has been used by more utilities largely because of the current DOE</w:t>
      </w:r>
      <w:r w:rsidR="00A11838" w:rsidRPr="00D93BA5">
        <w:t xml:space="preserve"> energy conservation </w:t>
      </w:r>
      <w:r w:rsidRPr="00D93BA5">
        <w:t>standard.</w:t>
      </w:r>
      <w:r w:rsidR="00A11838" w:rsidRPr="00D93BA5">
        <w:t xml:space="preserve"> </w:t>
      </w:r>
      <w:r w:rsidRPr="00D93BA5">
        <w:t>Given today’s supply chain challenges, the information provided by NRECA’s members shows availability of transformers is the primary concern, not the cost</w:t>
      </w:r>
      <w:r w:rsidR="00A11838" w:rsidRPr="00D93BA5">
        <w:t xml:space="preserve">, and therefore DOE’s estimation of the utilities using TOC are not </w:t>
      </w:r>
      <w:r w:rsidR="002C4E94" w:rsidRPr="00D93BA5">
        <w:t>representative of real-world experience.</w:t>
      </w:r>
    </w:p>
    <w:p w14:paraId="013CE97F" w14:textId="46CD089B" w:rsidR="000C0CD6" w:rsidRPr="00D93BA5" w:rsidRDefault="000C0CD6" w:rsidP="006317A6">
      <w:pPr>
        <w:pStyle w:val="NoSpacing"/>
        <w:rPr>
          <w:rFonts w:ascii="Times New Roman" w:hAnsi="Times New Roman" w:cs="Times New Roman"/>
          <w:sz w:val="24"/>
          <w:szCs w:val="24"/>
        </w:rPr>
      </w:pPr>
    </w:p>
    <w:p w14:paraId="42D0025E" w14:textId="44CF1653" w:rsidR="00E34D04" w:rsidRPr="00D93BA5" w:rsidRDefault="00E34D04"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As PSE notes, many electric cooperatives are RUS borrowers and thus must follow Buy American regulations that may prohibit them from using products with foreign-sourced steel as we expect amorphous steel to be for the foreseeable future.</w:t>
      </w:r>
      <w:r w:rsidR="00A222D3" w:rsidRPr="00D93BA5">
        <w:rPr>
          <w:rStyle w:val="FootnoteReference"/>
          <w:rFonts w:ascii="Times New Roman" w:hAnsi="Times New Roman" w:cs="Times New Roman"/>
          <w:sz w:val="24"/>
          <w:szCs w:val="24"/>
        </w:rPr>
        <w:footnoteReference w:id="10"/>
      </w:r>
      <w:r w:rsidRPr="00D93BA5">
        <w:rPr>
          <w:rFonts w:ascii="Times New Roman" w:hAnsi="Times New Roman" w:cs="Times New Roman"/>
          <w:sz w:val="24"/>
          <w:szCs w:val="24"/>
        </w:rPr>
        <w:t xml:space="preserve"> This will likely be a problem on an industry-wide basis given the passage of the Build America Buy America Act that is applicable to all infrastructure spending going forward.</w:t>
      </w:r>
    </w:p>
    <w:p w14:paraId="5980C585" w14:textId="0059B21A" w:rsidR="004D349E" w:rsidRPr="00D93BA5" w:rsidRDefault="004D349E" w:rsidP="006317A6">
      <w:pPr>
        <w:pStyle w:val="NoSpacing"/>
        <w:rPr>
          <w:rFonts w:ascii="Times New Roman" w:hAnsi="Times New Roman" w:cs="Times New Roman"/>
          <w:sz w:val="24"/>
          <w:szCs w:val="24"/>
        </w:rPr>
      </w:pPr>
    </w:p>
    <w:p w14:paraId="0C123909" w14:textId="00358DAA" w:rsidR="004D349E" w:rsidRPr="00D93BA5" w:rsidRDefault="004D349E"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DOE requests specific comment regarding some assumptions</w:t>
      </w:r>
      <w:r w:rsidR="006626F6" w:rsidRPr="00D93BA5">
        <w:rPr>
          <w:rFonts w:ascii="Times New Roman" w:hAnsi="Times New Roman" w:cs="Times New Roman"/>
          <w:sz w:val="24"/>
          <w:szCs w:val="24"/>
        </w:rPr>
        <w:t xml:space="preserve"> in their analysis</w:t>
      </w:r>
      <w:r w:rsidRPr="00D93BA5">
        <w:rPr>
          <w:rFonts w:ascii="Times New Roman" w:hAnsi="Times New Roman" w:cs="Times New Roman"/>
          <w:sz w:val="24"/>
          <w:szCs w:val="24"/>
        </w:rPr>
        <w:t xml:space="preserve"> </w:t>
      </w:r>
      <w:r w:rsidR="00877ADE">
        <w:rPr>
          <w:rFonts w:ascii="Times New Roman" w:hAnsi="Times New Roman" w:cs="Times New Roman"/>
          <w:sz w:val="24"/>
          <w:szCs w:val="24"/>
        </w:rPr>
        <w:t>pertaining</w:t>
      </w:r>
      <w:r w:rsidRPr="00D93BA5">
        <w:rPr>
          <w:rFonts w:ascii="Times New Roman" w:hAnsi="Times New Roman" w:cs="Times New Roman"/>
          <w:sz w:val="24"/>
          <w:szCs w:val="24"/>
        </w:rPr>
        <w:t xml:space="preserve"> to utilities serving low customer populations. It will vary across cooperatives, but our data suggests that 15 kVA transformers are used more commonly in areas with densities of 6 customers per mile, as compared to DOE’s assumption in the NOPR of 25 kVA transformer units.</w:t>
      </w:r>
    </w:p>
    <w:p w14:paraId="0D7BB3BE" w14:textId="77777777" w:rsidR="00226C50" w:rsidRPr="00D93BA5" w:rsidRDefault="00226C50" w:rsidP="006317A6">
      <w:pPr>
        <w:pStyle w:val="NoSpacing"/>
        <w:rPr>
          <w:rFonts w:ascii="Times New Roman" w:hAnsi="Times New Roman" w:cs="Times New Roman"/>
          <w:sz w:val="24"/>
          <w:szCs w:val="24"/>
        </w:rPr>
      </w:pPr>
    </w:p>
    <w:p w14:paraId="78F8CF19" w14:textId="77777777" w:rsidR="006317A6" w:rsidRPr="00D93BA5" w:rsidRDefault="006317A6" w:rsidP="006317A6">
      <w:pPr>
        <w:pStyle w:val="NoSpacing"/>
        <w:rPr>
          <w:rFonts w:ascii="Times New Roman" w:hAnsi="Times New Roman" w:cs="Times New Roman"/>
          <w:b/>
          <w:bCs/>
          <w:sz w:val="24"/>
          <w:szCs w:val="24"/>
        </w:rPr>
      </w:pPr>
      <w:r w:rsidRPr="00D93BA5">
        <w:rPr>
          <w:rFonts w:ascii="Times New Roman" w:hAnsi="Times New Roman" w:cs="Times New Roman"/>
          <w:b/>
          <w:bCs/>
          <w:sz w:val="24"/>
          <w:szCs w:val="24"/>
        </w:rPr>
        <w:t>A proposal of this magnitude requires more time and analysis to avoid unintended consequences.</w:t>
      </w:r>
    </w:p>
    <w:p w14:paraId="7C2DDA74" w14:textId="509F5460" w:rsidR="006317A6" w:rsidRPr="00D93BA5" w:rsidRDefault="006317A6" w:rsidP="006317A6">
      <w:pPr>
        <w:pStyle w:val="NoSpacing"/>
        <w:rPr>
          <w:rFonts w:ascii="Times New Roman" w:hAnsi="Times New Roman" w:cs="Times New Roman"/>
          <w:sz w:val="24"/>
          <w:szCs w:val="24"/>
        </w:rPr>
      </w:pPr>
    </w:p>
    <w:p w14:paraId="0B74BE05" w14:textId="2553B64F" w:rsidR="00F111FD" w:rsidRPr="00D93BA5" w:rsidRDefault="00C11D5E"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We raise several significant concerns throughout</w:t>
      </w:r>
      <w:r w:rsidR="00E01A97" w:rsidRPr="00D93BA5">
        <w:rPr>
          <w:rFonts w:ascii="Times New Roman" w:hAnsi="Times New Roman" w:cs="Times New Roman"/>
          <w:sz w:val="24"/>
          <w:szCs w:val="24"/>
        </w:rPr>
        <w:t xml:space="preserve"> our comments</w:t>
      </w:r>
      <w:r w:rsidRPr="00D93BA5">
        <w:rPr>
          <w:rFonts w:ascii="Times New Roman" w:hAnsi="Times New Roman" w:cs="Times New Roman"/>
          <w:sz w:val="24"/>
          <w:szCs w:val="24"/>
        </w:rPr>
        <w:t xml:space="preserve"> that each warrant more consideration and more accurate accounting by DOE in its analysis.</w:t>
      </w:r>
      <w:r w:rsidR="00A11838" w:rsidRPr="00D93BA5">
        <w:rPr>
          <w:rFonts w:ascii="Times New Roman" w:hAnsi="Times New Roman" w:cs="Times New Roman"/>
          <w:sz w:val="24"/>
          <w:szCs w:val="24"/>
        </w:rPr>
        <w:t xml:space="preserve"> </w:t>
      </w:r>
      <w:r w:rsidR="00E01A97" w:rsidRPr="00D93BA5">
        <w:rPr>
          <w:rFonts w:ascii="Times New Roman" w:hAnsi="Times New Roman" w:cs="Times New Roman"/>
          <w:sz w:val="24"/>
          <w:szCs w:val="24"/>
        </w:rPr>
        <w:t>W</w:t>
      </w:r>
      <w:r w:rsidRPr="00D93BA5">
        <w:rPr>
          <w:rFonts w:ascii="Times New Roman" w:hAnsi="Times New Roman" w:cs="Times New Roman"/>
          <w:sz w:val="24"/>
          <w:szCs w:val="24"/>
        </w:rPr>
        <w:t xml:space="preserve">e feel strongly that DOE needs to take more time to gather data from the steel producers, transformer </w:t>
      </w:r>
      <w:r w:rsidR="008D1636" w:rsidRPr="00D93BA5">
        <w:rPr>
          <w:rFonts w:ascii="Times New Roman" w:hAnsi="Times New Roman" w:cs="Times New Roman"/>
          <w:sz w:val="24"/>
          <w:szCs w:val="24"/>
        </w:rPr>
        <w:t>manufacturers</w:t>
      </w:r>
      <w:r w:rsidRPr="00D93BA5">
        <w:rPr>
          <w:rFonts w:ascii="Times New Roman" w:hAnsi="Times New Roman" w:cs="Times New Roman"/>
          <w:sz w:val="24"/>
          <w:szCs w:val="24"/>
        </w:rPr>
        <w:t>, and electric utilities to better reflect the real</w:t>
      </w:r>
      <w:r w:rsidR="00A11838" w:rsidRPr="00D93BA5">
        <w:rPr>
          <w:rFonts w:ascii="Times New Roman" w:hAnsi="Times New Roman" w:cs="Times New Roman"/>
          <w:sz w:val="24"/>
          <w:szCs w:val="24"/>
        </w:rPr>
        <w:t>-</w:t>
      </w:r>
      <w:r w:rsidRPr="00D93BA5">
        <w:rPr>
          <w:rFonts w:ascii="Times New Roman" w:hAnsi="Times New Roman" w:cs="Times New Roman"/>
          <w:sz w:val="24"/>
          <w:szCs w:val="24"/>
        </w:rPr>
        <w:t xml:space="preserve">world conditions that </w:t>
      </w:r>
      <w:r w:rsidR="008D1636" w:rsidRPr="00D93BA5">
        <w:rPr>
          <w:rFonts w:ascii="Times New Roman" w:hAnsi="Times New Roman" w:cs="Times New Roman"/>
          <w:sz w:val="24"/>
          <w:szCs w:val="24"/>
        </w:rPr>
        <w:t>will impact its analysis of the standard as proposed in the NOPR.</w:t>
      </w:r>
    </w:p>
    <w:p w14:paraId="77CA03E7" w14:textId="67D167C0" w:rsidR="006317A6" w:rsidRPr="00D93BA5" w:rsidRDefault="006317A6" w:rsidP="006317A6">
      <w:pPr>
        <w:pStyle w:val="NoSpacing"/>
        <w:rPr>
          <w:rFonts w:ascii="Times New Roman" w:hAnsi="Times New Roman" w:cs="Times New Roman"/>
          <w:sz w:val="24"/>
          <w:szCs w:val="24"/>
        </w:rPr>
      </w:pPr>
    </w:p>
    <w:p w14:paraId="678617A0" w14:textId="62EF6A32" w:rsidR="000C254F" w:rsidRPr="00D93BA5" w:rsidRDefault="000C254F"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Th</w:t>
      </w:r>
      <w:r w:rsidR="00877ADE">
        <w:rPr>
          <w:rFonts w:ascii="Times New Roman" w:hAnsi="Times New Roman" w:cs="Times New Roman"/>
          <w:sz w:val="24"/>
          <w:szCs w:val="24"/>
        </w:rPr>
        <w:t>is</w:t>
      </w:r>
      <w:r w:rsidRPr="00D93BA5">
        <w:rPr>
          <w:rFonts w:ascii="Times New Roman" w:hAnsi="Times New Roman" w:cs="Times New Roman"/>
          <w:sz w:val="24"/>
          <w:szCs w:val="24"/>
        </w:rPr>
        <w:t xml:space="preserve"> proposal could potentially impact the market for other products and equipment also critical to the utility sector. For example, PSE notes that “lead times for distribution voltage regulators – which include internal autotransformers and are a critical piece of cooperatives’ ability to maintain adequate voltage levels on their systems – are even longer than distribution transformers, reaching up to two years. This is not likely to improve if electrical steelmakers are forced to shift to amorphous core steel production to meet distribution transformer demand.”</w:t>
      </w:r>
      <w:r w:rsidR="00A222D3" w:rsidRPr="00D93BA5">
        <w:rPr>
          <w:rStyle w:val="FootnoteReference"/>
          <w:rFonts w:ascii="Times New Roman" w:hAnsi="Times New Roman" w:cs="Times New Roman"/>
          <w:sz w:val="24"/>
          <w:szCs w:val="24"/>
        </w:rPr>
        <w:footnoteReference w:id="11"/>
      </w:r>
    </w:p>
    <w:p w14:paraId="2BD55098" w14:textId="77777777" w:rsidR="00D70B25" w:rsidRPr="00D93BA5" w:rsidRDefault="00D70B25" w:rsidP="006317A6">
      <w:pPr>
        <w:pStyle w:val="NoSpacing"/>
        <w:rPr>
          <w:rFonts w:ascii="Times New Roman" w:hAnsi="Times New Roman" w:cs="Times New Roman"/>
          <w:sz w:val="24"/>
          <w:szCs w:val="24"/>
        </w:rPr>
      </w:pPr>
    </w:p>
    <w:p w14:paraId="6CB8E758" w14:textId="77777777" w:rsidR="006317A6" w:rsidRPr="00D93BA5" w:rsidRDefault="006317A6" w:rsidP="006317A6">
      <w:pPr>
        <w:pStyle w:val="NoSpacing"/>
        <w:rPr>
          <w:rFonts w:ascii="Times New Roman" w:hAnsi="Times New Roman" w:cs="Times New Roman"/>
          <w:b/>
          <w:bCs/>
          <w:sz w:val="24"/>
          <w:szCs w:val="24"/>
        </w:rPr>
      </w:pPr>
      <w:r w:rsidRPr="00D93BA5">
        <w:rPr>
          <w:rFonts w:ascii="Times New Roman" w:hAnsi="Times New Roman" w:cs="Times New Roman"/>
          <w:b/>
          <w:bCs/>
          <w:sz w:val="24"/>
          <w:szCs w:val="24"/>
        </w:rPr>
        <w:t xml:space="preserve">Conclusion </w:t>
      </w:r>
    </w:p>
    <w:p w14:paraId="0C90182D" w14:textId="77777777" w:rsidR="006317A6" w:rsidRPr="00D93BA5" w:rsidRDefault="006317A6" w:rsidP="006317A6">
      <w:pPr>
        <w:pStyle w:val="NoSpacing"/>
        <w:rPr>
          <w:rFonts w:ascii="Times New Roman" w:hAnsi="Times New Roman" w:cs="Times New Roman"/>
          <w:sz w:val="24"/>
          <w:szCs w:val="24"/>
        </w:rPr>
      </w:pPr>
    </w:p>
    <w:p w14:paraId="7DDFB2A9" w14:textId="29E2FA71" w:rsidR="006317A6" w:rsidRPr="00D93BA5" w:rsidRDefault="00D93BA5"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 xml:space="preserve">It is critical that DOE reconsider implementing a new energy conservation standard for distribution transformers as laid out in the NOPR given the unprecedented challenges </w:t>
      </w:r>
      <w:r w:rsidR="00877ADE">
        <w:rPr>
          <w:rFonts w:ascii="Times New Roman" w:hAnsi="Times New Roman" w:cs="Times New Roman"/>
          <w:sz w:val="24"/>
          <w:szCs w:val="24"/>
        </w:rPr>
        <w:t xml:space="preserve">electric cooperatives and other electric </w:t>
      </w:r>
      <w:r w:rsidRPr="00D93BA5">
        <w:rPr>
          <w:rFonts w:ascii="Times New Roman" w:hAnsi="Times New Roman" w:cs="Times New Roman"/>
          <w:sz w:val="24"/>
          <w:szCs w:val="24"/>
        </w:rPr>
        <w:t>utilities are facing in receiving this critical equipment today. Th</w:t>
      </w:r>
      <w:r w:rsidR="00877ADE">
        <w:rPr>
          <w:rFonts w:ascii="Times New Roman" w:hAnsi="Times New Roman" w:cs="Times New Roman"/>
          <w:sz w:val="24"/>
          <w:szCs w:val="24"/>
        </w:rPr>
        <w:t xml:space="preserve">e proposal will </w:t>
      </w:r>
      <w:r w:rsidRPr="00D93BA5">
        <w:rPr>
          <w:rFonts w:ascii="Times New Roman" w:hAnsi="Times New Roman" w:cs="Times New Roman"/>
          <w:sz w:val="24"/>
          <w:szCs w:val="24"/>
        </w:rPr>
        <w:t xml:space="preserve">exacerbate current supply chain constraints </w:t>
      </w:r>
      <w:r w:rsidR="00877ADE">
        <w:rPr>
          <w:rFonts w:ascii="Times New Roman" w:hAnsi="Times New Roman" w:cs="Times New Roman"/>
          <w:sz w:val="24"/>
          <w:szCs w:val="24"/>
        </w:rPr>
        <w:t>while</w:t>
      </w:r>
      <w:r w:rsidRPr="00D93BA5">
        <w:rPr>
          <w:rFonts w:ascii="Times New Roman" w:hAnsi="Times New Roman" w:cs="Times New Roman"/>
          <w:sz w:val="24"/>
          <w:szCs w:val="24"/>
        </w:rPr>
        <w:t xml:space="preserve"> achiev</w:t>
      </w:r>
      <w:r w:rsidR="00877ADE">
        <w:rPr>
          <w:rFonts w:ascii="Times New Roman" w:hAnsi="Times New Roman" w:cs="Times New Roman"/>
          <w:sz w:val="24"/>
          <w:szCs w:val="24"/>
        </w:rPr>
        <w:t>ing</w:t>
      </w:r>
      <w:r w:rsidRPr="00D93BA5">
        <w:rPr>
          <w:rFonts w:ascii="Times New Roman" w:hAnsi="Times New Roman" w:cs="Times New Roman"/>
          <w:sz w:val="24"/>
          <w:szCs w:val="24"/>
        </w:rPr>
        <w:t xml:space="preserve"> minimal energy savings. </w:t>
      </w:r>
      <w:r w:rsidRPr="00D93BA5">
        <w:rPr>
          <w:rFonts w:ascii="Times New Roman" w:hAnsi="Times New Roman" w:cs="Times New Roman"/>
          <w:sz w:val="24"/>
          <w:szCs w:val="24"/>
        </w:rPr>
        <w:t xml:space="preserve">Based on </w:t>
      </w:r>
      <w:r w:rsidR="00877ADE">
        <w:rPr>
          <w:rFonts w:ascii="Times New Roman" w:hAnsi="Times New Roman" w:cs="Times New Roman"/>
          <w:sz w:val="24"/>
          <w:szCs w:val="24"/>
        </w:rPr>
        <w:t>today’s</w:t>
      </w:r>
      <w:r w:rsidRPr="00D93BA5">
        <w:rPr>
          <w:rFonts w:ascii="Times New Roman" w:hAnsi="Times New Roman" w:cs="Times New Roman"/>
          <w:sz w:val="24"/>
          <w:szCs w:val="24"/>
        </w:rPr>
        <w:t xml:space="preserve"> </w:t>
      </w:r>
      <w:r w:rsidR="00877ADE">
        <w:rPr>
          <w:rFonts w:ascii="Times New Roman" w:hAnsi="Times New Roman" w:cs="Times New Roman"/>
          <w:sz w:val="24"/>
          <w:szCs w:val="24"/>
        </w:rPr>
        <w:t xml:space="preserve">energy conservation </w:t>
      </w:r>
      <w:r w:rsidRPr="00D93BA5">
        <w:rPr>
          <w:rFonts w:ascii="Times New Roman" w:hAnsi="Times New Roman" w:cs="Times New Roman"/>
          <w:sz w:val="24"/>
          <w:szCs w:val="24"/>
        </w:rPr>
        <w:t xml:space="preserve">standard, </w:t>
      </w:r>
      <w:r w:rsidR="00877ADE">
        <w:rPr>
          <w:rFonts w:ascii="Times New Roman" w:hAnsi="Times New Roman" w:cs="Times New Roman"/>
          <w:sz w:val="24"/>
          <w:szCs w:val="24"/>
        </w:rPr>
        <w:t xml:space="preserve">distribution </w:t>
      </w:r>
      <w:r w:rsidRPr="00D93BA5">
        <w:rPr>
          <w:rFonts w:ascii="Times New Roman" w:hAnsi="Times New Roman" w:cs="Times New Roman"/>
          <w:sz w:val="24"/>
          <w:szCs w:val="24"/>
        </w:rPr>
        <w:t>transformers are already above 98% efficient with most over 99%</w:t>
      </w:r>
      <w:r w:rsidR="00877ADE">
        <w:rPr>
          <w:rFonts w:ascii="Times New Roman" w:hAnsi="Times New Roman" w:cs="Times New Roman"/>
          <w:sz w:val="24"/>
          <w:szCs w:val="24"/>
        </w:rPr>
        <w:t>, meaning</w:t>
      </w:r>
      <w:r w:rsidRPr="00D93BA5">
        <w:rPr>
          <w:rFonts w:ascii="Times New Roman" w:hAnsi="Times New Roman" w:cs="Times New Roman"/>
          <w:sz w:val="24"/>
          <w:szCs w:val="24"/>
        </w:rPr>
        <w:t xml:space="preserve"> this proposal is focused on small incremental improvements while ignoring </w:t>
      </w:r>
      <w:r w:rsidRPr="00D93BA5">
        <w:rPr>
          <w:rFonts w:ascii="Times New Roman" w:hAnsi="Times New Roman" w:cs="Times New Roman"/>
          <w:sz w:val="24"/>
          <w:szCs w:val="24"/>
        </w:rPr>
        <w:t xml:space="preserve">many of the </w:t>
      </w:r>
      <w:r w:rsidRPr="00D93BA5">
        <w:rPr>
          <w:rFonts w:ascii="Times New Roman" w:hAnsi="Times New Roman" w:cs="Times New Roman"/>
          <w:sz w:val="24"/>
          <w:szCs w:val="24"/>
        </w:rPr>
        <w:lastRenderedPageBreak/>
        <w:t xml:space="preserve">potential risks and costs associated with </w:t>
      </w:r>
      <w:r w:rsidR="00877ADE">
        <w:rPr>
          <w:rFonts w:ascii="Times New Roman" w:hAnsi="Times New Roman" w:cs="Times New Roman"/>
          <w:sz w:val="24"/>
          <w:szCs w:val="24"/>
        </w:rPr>
        <w:t>mandating</w:t>
      </w:r>
      <w:r w:rsidRPr="00D93BA5">
        <w:rPr>
          <w:rFonts w:ascii="Times New Roman" w:hAnsi="Times New Roman" w:cs="Times New Roman"/>
          <w:sz w:val="24"/>
          <w:szCs w:val="24"/>
        </w:rPr>
        <w:t xml:space="preserve"> amorphous steel core transformers</w:t>
      </w:r>
      <w:r w:rsidR="00877ADE">
        <w:rPr>
          <w:rFonts w:ascii="Times New Roman" w:hAnsi="Times New Roman" w:cs="Times New Roman"/>
          <w:sz w:val="24"/>
          <w:szCs w:val="24"/>
        </w:rPr>
        <w:t xml:space="preserve"> by 2027</w:t>
      </w:r>
      <w:r w:rsidRPr="00D93BA5">
        <w:rPr>
          <w:rFonts w:ascii="Times New Roman" w:hAnsi="Times New Roman" w:cs="Times New Roman"/>
          <w:sz w:val="24"/>
          <w:szCs w:val="24"/>
        </w:rPr>
        <w:t>.</w:t>
      </w:r>
      <w:r w:rsidRPr="00D93BA5">
        <w:rPr>
          <w:rFonts w:ascii="Times New Roman" w:hAnsi="Times New Roman" w:cs="Times New Roman"/>
          <w:sz w:val="24"/>
          <w:szCs w:val="24"/>
        </w:rPr>
        <w:t xml:space="preserve"> </w:t>
      </w:r>
      <w:r w:rsidRPr="00D93BA5">
        <w:rPr>
          <w:rFonts w:ascii="Times New Roman" w:hAnsi="Times New Roman" w:cs="Times New Roman"/>
          <w:sz w:val="24"/>
          <w:szCs w:val="24"/>
        </w:rPr>
        <w:t>DOE’s top priority should be finding ways to support domestic distribution transformer manufacturers to increase production immediately and to sustain that output over the long term as electrification of the U.S. economy grows.</w:t>
      </w:r>
    </w:p>
    <w:p w14:paraId="0A195ADB" w14:textId="1B651C2C" w:rsidR="009D27E1" w:rsidRPr="00D93BA5" w:rsidRDefault="009D27E1" w:rsidP="006317A6">
      <w:pPr>
        <w:pStyle w:val="NoSpacing"/>
        <w:rPr>
          <w:rFonts w:ascii="Times New Roman" w:hAnsi="Times New Roman" w:cs="Times New Roman"/>
          <w:sz w:val="24"/>
          <w:szCs w:val="24"/>
        </w:rPr>
      </w:pPr>
    </w:p>
    <w:p w14:paraId="5BA9AC1A" w14:textId="20467144" w:rsidR="00D93BA5" w:rsidRPr="00D93BA5" w:rsidRDefault="00877ADE" w:rsidP="00D93BA5">
      <w:pPr>
        <w:pStyle w:val="NoSpacing"/>
        <w:rPr>
          <w:rFonts w:ascii="Times New Roman" w:hAnsi="Times New Roman" w:cs="Times New Roman"/>
          <w:sz w:val="24"/>
          <w:szCs w:val="24"/>
        </w:rPr>
      </w:pPr>
      <w:r>
        <w:rPr>
          <w:rFonts w:ascii="Times New Roman" w:hAnsi="Times New Roman" w:cs="Times New Roman"/>
          <w:sz w:val="24"/>
          <w:szCs w:val="24"/>
        </w:rPr>
        <w:t>NRECA</w:t>
      </w:r>
      <w:r w:rsidR="00D93BA5" w:rsidRPr="00D93BA5">
        <w:rPr>
          <w:rFonts w:ascii="Times New Roman" w:hAnsi="Times New Roman" w:cs="Times New Roman"/>
          <w:sz w:val="24"/>
          <w:szCs w:val="24"/>
        </w:rPr>
        <w:t xml:space="preserve"> urge</w:t>
      </w:r>
      <w:r>
        <w:rPr>
          <w:rFonts w:ascii="Times New Roman" w:hAnsi="Times New Roman" w:cs="Times New Roman"/>
          <w:sz w:val="24"/>
          <w:szCs w:val="24"/>
        </w:rPr>
        <w:t>s</w:t>
      </w:r>
      <w:r w:rsidR="00D93BA5" w:rsidRPr="00D93BA5">
        <w:rPr>
          <w:rFonts w:ascii="Times New Roman" w:hAnsi="Times New Roman" w:cs="Times New Roman"/>
          <w:sz w:val="24"/>
          <w:szCs w:val="24"/>
        </w:rPr>
        <w:t xml:space="preserve"> DOE to keep the existing standard in place, as permitted by statute, and instead focus on other means for incentivizing amorphous steel core transformers that could allow for potential expansion in the manufacturer market without jeopardizing electric reliability. </w:t>
      </w:r>
      <w:r w:rsidR="00D93BA5" w:rsidRPr="00D93BA5">
        <w:rPr>
          <w:rFonts w:ascii="Times New Roman" w:hAnsi="Times New Roman" w:cs="Times New Roman"/>
          <w:sz w:val="24"/>
          <w:szCs w:val="24"/>
        </w:rPr>
        <w:t xml:space="preserve">We welcome more dialogue with DOE that would provide insight into what </w:t>
      </w:r>
      <w:r w:rsidR="00FD15CA">
        <w:rPr>
          <w:rFonts w:ascii="Times New Roman" w:hAnsi="Times New Roman" w:cs="Times New Roman"/>
          <w:sz w:val="24"/>
          <w:szCs w:val="24"/>
        </w:rPr>
        <w:t xml:space="preserve">would could alleviate </w:t>
      </w:r>
      <w:r w:rsidR="00D93BA5" w:rsidRPr="00D93BA5">
        <w:rPr>
          <w:rFonts w:ascii="Times New Roman" w:hAnsi="Times New Roman" w:cs="Times New Roman"/>
          <w:sz w:val="24"/>
          <w:szCs w:val="24"/>
        </w:rPr>
        <w:t>electric cooperatives</w:t>
      </w:r>
      <w:r w:rsidR="00FD15CA">
        <w:rPr>
          <w:rFonts w:ascii="Times New Roman" w:hAnsi="Times New Roman" w:cs="Times New Roman"/>
          <w:sz w:val="24"/>
          <w:szCs w:val="24"/>
        </w:rPr>
        <w:t>’</w:t>
      </w:r>
      <w:r w:rsidR="00D93BA5" w:rsidRPr="00D93BA5">
        <w:rPr>
          <w:rFonts w:ascii="Times New Roman" w:hAnsi="Times New Roman" w:cs="Times New Roman"/>
          <w:sz w:val="24"/>
          <w:szCs w:val="24"/>
        </w:rPr>
        <w:t xml:space="preserve"> </w:t>
      </w:r>
      <w:r w:rsidR="00FD15CA">
        <w:rPr>
          <w:rFonts w:ascii="Times New Roman" w:hAnsi="Times New Roman" w:cs="Times New Roman"/>
          <w:sz w:val="24"/>
          <w:szCs w:val="24"/>
        </w:rPr>
        <w:t>substantial concerns</w:t>
      </w:r>
      <w:r>
        <w:rPr>
          <w:rFonts w:ascii="Times New Roman" w:hAnsi="Times New Roman" w:cs="Times New Roman"/>
          <w:sz w:val="24"/>
          <w:szCs w:val="24"/>
        </w:rPr>
        <w:t xml:space="preserve"> from an operational perspective about being </w:t>
      </w:r>
      <w:r w:rsidR="00FD15CA">
        <w:rPr>
          <w:rFonts w:ascii="Times New Roman" w:hAnsi="Times New Roman" w:cs="Times New Roman"/>
          <w:sz w:val="24"/>
          <w:szCs w:val="24"/>
        </w:rPr>
        <w:t>required</w:t>
      </w:r>
      <w:r>
        <w:rPr>
          <w:rFonts w:ascii="Times New Roman" w:hAnsi="Times New Roman" w:cs="Times New Roman"/>
          <w:sz w:val="24"/>
          <w:szCs w:val="24"/>
        </w:rPr>
        <w:t xml:space="preserve"> to move to amorphous steel core transformers, such as the </w:t>
      </w:r>
      <w:r w:rsidR="00D93BA5" w:rsidRPr="00D93BA5">
        <w:rPr>
          <w:rFonts w:ascii="Times New Roman" w:hAnsi="Times New Roman" w:cs="Times New Roman"/>
          <w:sz w:val="24"/>
          <w:szCs w:val="24"/>
        </w:rPr>
        <w:t xml:space="preserve">increased size and weight. </w:t>
      </w:r>
      <w:r>
        <w:rPr>
          <w:rFonts w:ascii="Times New Roman" w:hAnsi="Times New Roman" w:cs="Times New Roman"/>
          <w:sz w:val="24"/>
          <w:szCs w:val="24"/>
        </w:rPr>
        <w:t>Investments being driven by the Infrastructure Investment and Jobs Act, Inflation Reduction Act, other electrification initiatives and increased spending on resilience all demonstrate that</w:t>
      </w:r>
      <w:r w:rsidR="00D93BA5" w:rsidRPr="00D93BA5">
        <w:rPr>
          <w:rFonts w:ascii="Times New Roman" w:hAnsi="Times New Roman" w:cs="Times New Roman"/>
          <w:sz w:val="24"/>
          <w:szCs w:val="24"/>
        </w:rPr>
        <w:t xml:space="preserve"> demand </w:t>
      </w:r>
      <w:r>
        <w:rPr>
          <w:rFonts w:ascii="Times New Roman" w:hAnsi="Times New Roman" w:cs="Times New Roman"/>
          <w:sz w:val="24"/>
          <w:szCs w:val="24"/>
        </w:rPr>
        <w:t xml:space="preserve">for distribution transformers is growing and will </w:t>
      </w:r>
      <w:r w:rsidR="00D93BA5" w:rsidRPr="00D93BA5">
        <w:rPr>
          <w:rFonts w:ascii="Times New Roman" w:hAnsi="Times New Roman" w:cs="Times New Roman"/>
          <w:sz w:val="24"/>
          <w:szCs w:val="24"/>
        </w:rPr>
        <w:t xml:space="preserve">remain elevated for the foreseeable future. </w:t>
      </w:r>
      <w:r w:rsidR="00D93BA5" w:rsidRPr="00D93BA5">
        <w:rPr>
          <w:rFonts w:ascii="Times New Roman" w:hAnsi="Times New Roman" w:cs="Times New Roman"/>
          <w:sz w:val="24"/>
          <w:szCs w:val="24"/>
        </w:rPr>
        <w:t>We need to be expanding the market for transformers rather than constricting it by driving traditional GOES distribution transformers out of the market</w:t>
      </w:r>
      <w:r>
        <w:rPr>
          <w:rFonts w:ascii="Times New Roman" w:hAnsi="Times New Roman" w:cs="Times New Roman"/>
          <w:sz w:val="24"/>
          <w:szCs w:val="24"/>
        </w:rPr>
        <w:t xml:space="preserve"> as </w:t>
      </w:r>
      <w:r w:rsidR="00FD15CA">
        <w:rPr>
          <w:rFonts w:ascii="Times New Roman" w:hAnsi="Times New Roman" w:cs="Times New Roman"/>
          <w:sz w:val="24"/>
          <w:szCs w:val="24"/>
        </w:rPr>
        <w:t>DOE’s</w:t>
      </w:r>
      <w:r>
        <w:rPr>
          <w:rFonts w:ascii="Times New Roman" w:hAnsi="Times New Roman" w:cs="Times New Roman"/>
          <w:sz w:val="24"/>
          <w:szCs w:val="24"/>
        </w:rPr>
        <w:t xml:space="preserve"> NOPR would do</w:t>
      </w:r>
      <w:r w:rsidR="00D93BA5" w:rsidRPr="00D93BA5">
        <w:rPr>
          <w:rFonts w:ascii="Times New Roman" w:hAnsi="Times New Roman" w:cs="Times New Roman"/>
          <w:sz w:val="24"/>
          <w:szCs w:val="24"/>
        </w:rPr>
        <w:t>.</w:t>
      </w:r>
      <w:r>
        <w:rPr>
          <w:rFonts w:ascii="Times New Roman" w:hAnsi="Times New Roman" w:cs="Times New Roman"/>
          <w:sz w:val="24"/>
          <w:szCs w:val="24"/>
        </w:rPr>
        <w:t xml:space="preserve"> </w:t>
      </w:r>
    </w:p>
    <w:p w14:paraId="353FDA82" w14:textId="77777777" w:rsidR="00D93BA5" w:rsidRPr="00D93BA5" w:rsidRDefault="00D93BA5" w:rsidP="006317A6">
      <w:pPr>
        <w:pStyle w:val="NoSpacing"/>
        <w:rPr>
          <w:rFonts w:ascii="Times New Roman" w:hAnsi="Times New Roman" w:cs="Times New Roman"/>
          <w:sz w:val="24"/>
          <w:szCs w:val="24"/>
        </w:rPr>
      </w:pPr>
    </w:p>
    <w:p w14:paraId="2F7511A8" w14:textId="09354AD0" w:rsidR="007F1C90" w:rsidRPr="00D93BA5" w:rsidRDefault="006317A6" w:rsidP="006317A6">
      <w:pPr>
        <w:pStyle w:val="NoSpacing"/>
        <w:rPr>
          <w:rFonts w:ascii="Times New Roman" w:hAnsi="Times New Roman" w:cs="Times New Roman"/>
          <w:sz w:val="24"/>
          <w:szCs w:val="24"/>
        </w:rPr>
      </w:pPr>
      <w:r w:rsidRPr="00D93BA5">
        <w:rPr>
          <w:rFonts w:ascii="Times New Roman" w:hAnsi="Times New Roman" w:cs="Times New Roman"/>
          <w:sz w:val="24"/>
          <w:szCs w:val="24"/>
        </w:rPr>
        <w:t xml:space="preserve">Thank you for considering our comments and we look forward to further discussion with DOE about how to move forward in a way that would not adversely impact our members’ ability to provide affordable, reliable power to their </w:t>
      </w:r>
      <w:r w:rsidR="00E01A97" w:rsidRPr="00D93BA5">
        <w:rPr>
          <w:rFonts w:ascii="Times New Roman" w:hAnsi="Times New Roman" w:cs="Times New Roman"/>
          <w:sz w:val="24"/>
          <w:szCs w:val="24"/>
        </w:rPr>
        <w:t>consumer-members.</w:t>
      </w:r>
      <w:r w:rsidRPr="00D93BA5">
        <w:rPr>
          <w:rFonts w:ascii="Times New Roman" w:hAnsi="Times New Roman" w:cs="Times New Roman"/>
          <w:sz w:val="24"/>
          <w:szCs w:val="24"/>
        </w:rPr>
        <w:t xml:space="preserve"> </w:t>
      </w:r>
      <w:r w:rsidR="007F1C90" w:rsidRPr="00D93BA5">
        <w:rPr>
          <w:rFonts w:ascii="Times New Roman" w:hAnsi="Times New Roman" w:cs="Times New Roman"/>
          <w:sz w:val="24"/>
          <w:szCs w:val="24"/>
        </w:rPr>
        <w:t xml:space="preserve">Please contact </w:t>
      </w:r>
      <w:r w:rsidR="00C8618A" w:rsidRPr="00D93BA5">
        <w:rPr>
          <w:rFonts w:ascii="Times New Roman" w:hAnsi="Times New Roman" w:cs="Times New Roman"/>
          <w:sz w:val="24"/>
          <w:szCs w:val="24"/>
        </w:rPr>
        <w:t>Stephanie Crawford</w:t>
      </w:r>
      <w:r w:rsidR="00A6744B" w:rsidRPr="00D93BA5">
        <w:rPr>
          <w:rFonts w:ascii="Times New Roman" w:hAnsi="Times New Roman" w:cs="Times New Roman"/>
          <w:sz w:val="24"/>
          <w:szCs w:val="24"/>
        </w:rPr>
        <w:t xml:space="preserve"> at </w:t>
      </w:r>
      <w:hyperlink r:id="rId16" w:history="1">
        <w:r w:rsidR="00C8618A" w:rsidRPr="00D93BA5">
          <w:rPr>
            <w:rStyle w:val="Hyperlink"/>
            <w:rFonts w:ascii="Times New Roman" w:hAnsi="Times New Roman" w:cs="Times New Roman"/>
            <w:sz w:val="24"/>
            <w:szCs w:val="24"/>
          </w:rPr>
          <w:t>stephanie.crawford@nreca.coop</w:t>
        </w:r>
      </w:hyperlink>
      <w:r w:rsidR="00C8618A" w:rsidRPr="00D93BA5">
        <w:rPr>
          <w:rFonts w:ascii="Times New Roman" w:hAnsi="Times New Roman" w:cs="Times New Roman"/>
          <w:sz w:val="24"/>
          <w:szCs w:val="24"/>
        </w:rPr>
        <w:t xml:space="preserve"> </w:t>
      </w:r>
      <w:r w:rsidR="006A328F" w:rsidRPr="00D93BA5">
        <w:rPr>
          <w:rFonts w:ascii="Times New Roman" w:hAnsi="Times New Roman" w:cs="Times New Roman"/>
          <w:sz w:val="24"/>
          <w:szCs w:val="24"/>
        </w:rPr>
        <w:t xml:space="preserve">or 571-623-4049 </w:t>
      </w:r>
      <w:r w:rsidR="007F1C90" w:rsidRPr="00D93BA5">
        <w:rPr>
          <w:rFonts w:ascii="Times New Roman" w:hAnsi="Times New Roman" w:cs="Times New Roman"/>
          <w:sz w:val="24"/>
          <w:szCs w:val="24"/>
        </w:rPr>
        <w:t>if you have any questions</w:t>
      </w:r>
      <w:r w:rsidRPr="00D93BA5">
        <w:rPr>
          <w:rFonts w:ascii="Times New Roman" w:hAnsi="Times New Roman" w:cs="Times New Roman"/>
          <w:sz w:val="24"/>
          <w:szCs w:val="24"/>
        </w:rPr>
        <w:t xml:space="preserve"> about our comments</w:t>
      </w:r>
      <w:r w:rsidR="007F1C90" w:rsidRPr="00D93BA5">
        <w:rPr>
          <w:rFonts w:ascii="Times New Roman" w:hAnsi="Times New Roman" w:cs="Times New Roman"/>
          <w:sz w:val="24"/>
          <w:szCs w:val="24"/>
        </w:rPr>
        <w:t xml:space="preserve">. </w:t>
      </w:r>
    </w:p>
    <w:p w14:paraId="39331C6B" w14:textId="77777777" w:rsidR="007F1C90" w:rsidRPr="00D93BA5" w:rsidRDefault="007F1C90" w:rsidP="007F1C90"/>
    <w:p w14:paraId="78D60C29" w14:textId="77777777" w:rsidR="007F1C90" w:rsidRPr="00D93BA5" w:rsidRDefault="007F1C90" w:rsidP="007F1C90">
      <w:r w:rsidRPr="00D93BA5">
        <w:t>Sincerely,</w:t>
      </w:r>
    </w:p>
    <w:p w14:paraId="469D7230" w14:textId="77777777" w:rsidR="007F1C90" w:rsidRPr="00D93BA5" w:rsidRDefault="007F1C90" w:rsidP="007F1C90"/>
    <w:p w14:paraId="2132677E" w14:textId="16BB19F3" w:rsidR="007F1C90" w:rsidRPr="00D93BA5" w:rsidRDefault="007F1C90" w:rsidP="007F1C90"/>
    <w:p w14:paraId="22DF3321" w14:textId="77777777" w:rsidR="00110C82" w:rsidRPr="00D93BA5" w:rsidRDefault="00110C82" w:rsidP="007F1C90"/>
    <w:p w14:paraId="4764F0BD" w14:textId="7EBDD4B2" w:rsidR="007F1C90" w:rsidRPr="00D93BA5" w:rsidRDefault="00C8618A" w:rsidP="007F1C90">
      <w:r w:rsidRPr="00D93BA5">
        <w:t>Stephanie Crawford</w:t>
      </w:r>
    </w:p>
    <w:p w14:paraId="2F88A445" w14:textId="5A45D131" w:rsidR="00A6744B" w:rsidRPr="00D93BA5" w:rsidRDefault="00C8618A" w:rsidP="007F1C90">
      <w:r w:rsidRPr="00D93BA5">
        <w:t>Regulatory Affairs Director</w:t>
      </w:r>
    </w:p>
    <w:p w14:paraId="472051AE" w14:textId="3293B4E6" w:rsidR="007F1C90" w:rsidRPr="00D93BA5" w:rsidRDefault="007F1C90" w:rsidP="007F1C90">
      <w:r w:rsidRPr="00D93BA5">
        <w:t>National Rural Electric Cooperative Association</w:t>
      </w:r>
    </w:p>
    <w:p w14:paraId="678FAA14" w14:textId="0D7CA8E5" w:rsidR="006317A6" w:rsidRPr="00D93BA5" w:rsidRDefault="006317A6" w:rsidP="007F1C90"/>
    <w:p w14:paraId="026814B0" w14:textId="6DEE5FF4" w:rsidR="006317A6" w:rsidRPr="00D93BA5" w:rsidRDefault="006317A6" w:rsidP="007F1C90"/>
    <w:p w14:paraId="6CE40070" w14:textId="01F1AFB8" w:rsidR="006317A6" w:rsidRPr="00D93BA5" w:rsidRDefault="006317A6" w:rsidP="007F1C90"/>
    <w:p w14:paraId="539E2A38" w14:textId="77777777" w:rsidR="00D70B25" w:rsidRPr="00D93BA5" w:rsidRDefault="006317A6" w:rsidP="007F1C90">
      <w:r w:rsidRPr="00D93BA5">
        <w:t xml:space="preserve">Enclosure: </w:t>
      </w:r>
    </w:p>
    <w:p w14:paraId="2FEED008" w14:textId="4DC6F815" w:rsidR="006317A6" w:rsidRPr="00D93BA5" w:rsidRDefault="004D0F5F" w:rsidP="00D70B25">
      <w:pPr>
        <w:pStyle w:val="ListParagraph"/>
        <w:numPr>
          <w:ilvl w:val="0"/>
          <w:numId w:val="19"/>
        </w:numPr>
      </w:pPr>
      <w:r w:rsidRPr="00D93BA5">
        <w:t>March 13, 2023</w:t>
      </w:r>
      <w:r w:rsidR="006317A6" w:rsidRPr="00D93BA5">
        <w:t xml:space="preserve"> Memo</w:t>
      </w:r>
      <w:r w:rsidRPr="00D93BA5">
        <w:t xml:space="preserve"> from Power Systems Engineering (PSE) to NRECA RE: Support for NRECA Comments on DoE Transformer Efficiency NOPR [Energy Conservation Standards for Distribution Transformers, EERE-2019-BT-STD-0018]</w:t>
      </w:r>
    </w:p>
    <w:sectPr w:rsidR="006317A6" w:rsidRPr="00D93BA5" w:rsidSect="003D544F">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EA07" w14:textId="77777777" w:rsidR="00F34084" w:rsidRDefault="00F34084" w:rsidP="009854D8">
      <w:r>
        <w:separator/>
      </w:r>
    </w:p>
  </w:endnote>
  <w:endnote w:type="continuationSeparator" w:id="0">
    <w:p w14:paraId="10E0FD10" w14:textId="77777777" w:rsidR="00F34084" w:rsidRDefault="00F34084" w:rsidP="0098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A930" w14:textId="77777777" w:rsidR="00925743" w:rsidRPr="00D65EC8" w:rsidRDefault="00925743" w:rsidP="00B60220">
    <w:pPr>
      <w:pStyle w:val="Footer"/>
      <w:framePr w:wrap="none" w:vAnchor="text" w:hAnchor="page" w:x="10801" w:y="1"/>
      <w:rPr>
        <w:rStyle w:val="PageNumber"/>
        <w:rFonts w:ascii="Arial" w:hAnsi="Arial" w:cs="Arial"/>
        <w:sz w:val="20"/>
        <w:szCs w:val="20"/>
      </w:rPr>
    </w:pPr>
    <w:r w:rsidRPr="00D65EC8">
      <w:rPr>
        <w:rStyle w:val="PageNumber"/>
        <w:rFonts w:ascii="Arial" w:hAnsi="Arial" w:cs="Arial"/>
        <w:sz w:val="20"/>
        <w:szCs w:val="20"/>
      </w:rPr>
      <w:t xml:space="preserve">Pg. </w:t>
    </w:r>
    <w:r w:rsidRPr="00D65EC8">
      <w:rPr>
        <w:rStyle w:val="PageNumber"/>
        <w:rFonts w:ascii="Arial" w:hAnsi="Arial" w:cs="Arial"/>
        <w:sz w:val="20"/>
        <w:szCs w:val="20"/>
      </w:rPr>
      <w:fldChar w:fldCharType="begin"/>
    </w:r>
    <w:r w:rsidRPr="00D65EC8">
      <w:rPr>
        <w:rStyle w:val="PageNumber"/>
        <w:rFonts w:ascii="Arial" w:hAnsi="Arial" w:cs="Arial"/>
        <w:sz w:val="20"/>
        <w:szCs w:val="20"/>
      </w:rPr>
      <w:instrText xml:space="preserve">PAGE  </w:instrText>
    </w:r>
    <w:r w:rsidRPr="00D65EC8">
      <w:rPr>
        <w:rStyle w:val="PageNumber"/>
        <w:rFonts w:ascii="Arial" w:hAnsi="Arial" w:cs="Arial"/>
        <w:sz w:val="20"/>
        <w:szCs w:val="20"/>
      </w:rPr>
      <w:fldChar w:fldCharType="separate"/>
    </w:r>
    <w:r w:rsidR="00A32681">
      <w:rPr>
        <w:rStyle w:val="PageNumber"/>
        <w:rFonts w:ascii="Arial" w:hAnsi="Arial" w:cs="Arial"/>
        <w:noProof/>
        <w:sz w:val="20"/>
        <w:szCs w:val="20"/>
      </w:rPr>
      <w:t>3</w:t>
    </w:r>
    <w:r w:rsidRPr="00D65EC8">
      <w:rPr>
        <w:rStyle w:val="PageNumber"/>
        <w:rFonts w:ascii="Arial" w:hAnsi="Arial" w:cs="Arial"/>
        <w:sz w:val="20"/>
        <w:szCs w:val="20"/>
      </w:rPr>
      <w:fldChar w:fldCharType="end"/>
    </w:r>
  </w:p>
  <w:p w14:paraId="5913A931" w14:textId="77777777" w:rsidR="00925743" w:rsidRPr="00C41CA9" w:rsidRDefault="00925743" w:rsidP="00A5359B">
    <w:pPr>
      <w:pStyle w:val="FooterInfo"/>
      <w:jc w:val="center"/>
      <w:rPr>
        <w:szCs w:val="20"/>
      </w:rPr>
    </w:pPr>
    <w:bookmarkStart w:id="0" w:name="_Hlk491857382"/>
    <w:bookmarkStart w:id="1" w:name="_Hlk491857383"/>
    <w:bookmarkStart w:id="2" w:name="_Hlk491857384"/>
    <w:bookmarkStart w:id="3" w:name="_Hlk491857385"/>
    <w:bookmarkStart w:id="4" w:name="_Hlk491857386"/>
    <w:bookmarkStart w:id="5" w:name="_Hlk491857387"/>
    <w:bookmarkStart w:id="6" w:name="_Hlk491857388"/>
    <w:bookmarkStart w:id="7" w:name="_Hlk491857389"/>
    <w:bookmarkStart w:id="8" w:name="_Hlk491857390"/>
    <w:r w:rsidRPr="00562E0A">
      <w:t>4301 Wilson Blvd. | Arlington, VA 22203-1860 | Tel: 703.907.5500 | electric.coop | @NRECANews</w:t>
    </w:r>
    <w:bookmarkEnd w:id="0"/>
    <w:bookmarkEnd w:id="1"/>
    <w:bookmarkEnd w:id="2"/>
    <w:bookmarkEnd w:id="3"/>
    <w:bookmarkEnd w:id="4"/>
    <w:bookmarkEnd w:id="5"/>
    <w:bookmarkEnd w:id="6"/>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A937" w14:textId="77777777" w:rsidR="00EF07CF" w:rsidRPr="00C41CA9" w:rsidRDefault="00EF07CF" w:rsidP="00A5359B">
    <w:pPr>
      <w:pStyle w:val="FooterInfo"/>
      <w:jc w:val="center"/>
      <w:rPr>
        <w:szCs w:val="20"/>
      </w:rPr>
    </w:pPr>
    <w:r w:rsidRPr="00562E0A">
      <w:t>4301 Wilson Blvd. | Arlington, VA 22203-1860 | Tel: 703.907.5500 | electric.coop | @NRECANews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8427" w14:textId="77777777" w:rsidR="00F34084" w:rsidRDefault="00F34084" w:rsidP="009854D8">
      <w:r>
        <w:separator/>
      </w:r>
    </w:p>
  </w:footnote>
  <w:footnote w:type="continuationSeparator" w:id="0">
    <w:p w14:paraId="56F8165B" w14:textId="77777777" w:rsidR="00F34084" w:rsidRDefault="00F34084" w:rsidP="009854D8">
      <w:r>
        <w:continuationSeparator/>
      </w:r>
    </w:p>
  </w:footnote>
  <w:footnote w:id="1">
    <w:p w14:paraId="526C33C2" w14:textId="77777777" w:rsidR="00AA39C6" w:rsidRPr="00F2214A" w:rsidRDefault="00AA39C6" w:rsidP="00AA39C6">
      <w:pPr>
        <w:pStyle w:val="FootnoteText"/>
      </w:pPr>
      <w:r w:rsidRPr="00F2214A">
        <w:rPr>
          <w:rStyle w:val="FootnoteReference"/>
        </w:rPr>
        <w:footnoteRef/>
      </w:r>
      <w:r>
        <w:t xml:space="preserve"> See the U.S. Department of Commerce’s “The Effect of Imports of Transformers and Transformer Components on the National Security” (October 15, 2020) at:</w:t>
      </w:r>
      <w:r w:rsidRPr="00F2214A">
        <w:t xml:space="preserve"> </w:t>
      </w:r>
      <w:hyperlink r:id="rId1" w:history="1">
        <w:r w:rsidRPr="00F2214A">
          <w:rPr>
            <w:rStyle w:val="Hyperlink"/>
          </w:rPr>
          <w:t>https://www.bis.doc.gov/index.php/documents/section-232-investigations/2790-redacted-goes-report-20210723-ab-redacted/file</w:t>
        </w:r>
      </w:hyperlink>
      <w:r w:rsidRPr="00F2214A">
        <w:t xml:space="preserve"> </w:t>
      </w:r>
    </w:p>
  </w:footnote>
  <w:footnote w:id="2">
    <w:p w14:paraId="11A65642" w14:textId="19FBF892" w:rsidR="00877ADE" w:rsidRDefault="00877ADE">
      <w:pPr>
        <w:pStyle w:val="FootnoteText"/>
      </w:pPr>
      <w:r>
        <w:rPr>
          <w:rStyle w:val="FootnoteReference"/>
        </w:rPr>
        <w:footnoteRef/>
      </w:r>
      <w:r>
        <w:t xml:space="preserve"> See PSE memo, page 2: </w:t>
      </w:r>
      <w:r w:rsidRPr="00877ADE">
        <w:t>PSE highlights that the potential cost increases from moving to amorphous steel core transformers could account for an increase in total Construction Work Plan costs by 3% based on their experience with cooperatives. PSE notes “At a glance, this may not seem like a big change but represents a significant cost increase for many small rural cooperatives who serve primarily residential and small commercial members and whose revenue and rates are limited by the demographics of their service territories, since all of these costs will ultimately fall to the member-owners.”</w:t>
      </w:r>
    </w:p>
  </w:footnote>
  <w:footnote w:id="3">
    <w:p w14:paraId="3E65CE47" w14:textId="19F15174" w:rsidR="00A222D3" w:rsidRDefault="00A222D3">
      <w:pPr>
        <w:pStyle w:val="FootnoteText"/>
      </w:pPr>
      <w:r>
        <w:rPr>
          <w:rStyle w:val="FootnoteReference"/>
        </w:rPr>
        <w:footnoteRef/>
      </w:r>
      <w:r>
        <w:t xml:space="preserve"> See PSE memo, page 3</w:t>
      </w:r>
    </w:p>
  </w:footnote>
  <w:footnote w:id="4">
    <w:p w14:paraId="485A4F90" w14:textId="3881AB94" w:rsidR="00A222D3" w:rsidRDefault="00A222D3">
      <w:pPr>
        <w:pStyle w:val="FootnoteText"/>
      </w:pPr>
      <w:r>
        <w:rPr>
          <w:rStyle w:val="FootnoteReference"/>
        </w:rPr>
        <w:footnoteRef/>
      </w:r>
      <w:r>
        <w:t xml:space="preserve"> See PSE memo, page 4</w:t>
      </w:r>
    </w:p>
  </w:footnote>
  <w:footnote w:id="5">
    <w:p w14:paraId="6704C490" w14:textId="2E91FCB6" w:rsidR="00A222D3" w:rsidRDefault="00A222D3">
      <w:pPr>
        <w:pStyle w:val="FootnoteText"/>
      </w:pPr>
      <w:r>
        <w:rPr>
          <w:rStyle w:val="FootnoteReference"/>
        </w:rPr>
        <w:footnoteRef/>
      </w:r>
      <w:r>
        <w:t xml:space="preserve"> See PSE memo page 4</w:t>
      </w:r>
    </w:p>
  </w:footnote>
  <w:footnote w:id="6">
    <w:p w14:paraId="5840969E" w14:textId="0B840096" w:rsidR="00A222D3" w:rsidRDefault="00A222D3">
      <w:pPr>
        <w:pStyle w:val="FootnoteText"/>
      </w:pPr>
      <w:r>
        <w:rPr>
          <w:rStyle w:val="FootnoteReference"/>
        </w:rPr>
        <w:footnoteRef/>
      </w:r>
      <w:r>
        <w:t xml:space="preserve"> See PSE memo, page 4</w:t>
      </w:r>
    </w:p>
  </w:footnote>
  <w:footnote w:id="7">
    <w:p w14:paraId="2064C930" w14:textId="01CEE395" w:rsidR="004D0F5F" w:rsidRDefault="004D0F5F" w:rsidP="004D0F5F">
      <w:pPr>
        <w:pStyle w:val="FootnoteText"/>
      </w:pPr>
      <w:r>
        <w:rPr>
          <w:rStyle w:val="FootnoteReference"/>
        </w:rPr>
        <w:footnoteRef/>
      </w:r>
      <w:r>
        <w:t xml:space="preserve"> See PSE memo, page 5” “</w:t>
      </w:r>
      <w:r>
        <w:t>While cooperatives certainly don’t size transformer installations with the</w:t>
      </w:r>
      <w:r>
        <w:t xml:space="preserve"> </w:t>
      </w:r>
      <w:r>
        <w:t>intent of overloading</w:t>
      </w:r>
      <w:r>
        <w:t xml:space="preserve"> </w:t>
      </w:r>
      <w:r>
        <w:t>them, there are many reasons (outside of the utility’s control) why a distribution</w:t>
      </w:r>
      <w:r>
        <w:t xml:space="preserve"> </w:t>
      </w:r>
      <w:r>
        <w:t>transformer might become loaded to capacity or overloaded. In these situations, it is critical that the</w:t>
      </w:r>
      <w:r>
        <w:t xml:space="preserve"> </w:t>
      </w:r>
      <w:r>
        <w:t>transformer be able to handle the overload without damage or failure. This will become significantly</w:t>
      </w:r>
      <w:r>
        <w:t xml:space="preserve"> </w:t>
      </w:r>
      <w:r>
        <w:t>more important as high demand loads like EV chargers and electric heat systems become widespread,</w:t>
      </w:r>
      <w:r>
        <w:t xml:space="preserve"> </w:t>
      </w:r>
      <w:r>
        <w:t>and if cooperatives are unable to purchase replacement transformers within a reasonable timeframe,</w:t>
      </w:r>
      <w:r>
        <w:t xml:space="preserve"> </w:t>
      </w:r>
      <w:r>
        <w:t>system reliability could be impacted.</w:t>
      </w:r>
      <w:r>
        <w:t>”</w:t>
      </w:r>
    </w:p>
  </w:footnote>
  <w:footnote w:id="8">
    <w:p w14:paraId="2CF23463" w14:textId="4C4EC96F" w:rsidR="004D0F5F" w:rsidRDefault="004D0F5F" w:rsidP="004D0F5F">
      <w:pPr>
        <w:pStyle w:val="FootnoteText"/>
      </w:pPr>
      <w:r>
        <w:rPr>
          <w:rStyle w:val="FootnoteReference"/>
        </w:rPr>
        <w:footnoteRef/>
      </w:r>
      <w:r>
        <w:t xml:space="preserve"> See PSE memo, page 5: “</w:t>
      </w:r>
      <w:r>
        <w:t>Amorphous cores will be able to handle fewer fault events and</w:t>
      </w:r>
      <w:r>
        <w:t xml:space="preserve"> </w:t>
      </w:r>
      <w:r>
        <w:t>will be more susceptible to catastrophic damage due to fault exposure.</w:t>
      </w:r>
      <w:r>
        <w:t>”</w:t>
      </w:r>
    </w:p>
  </w:footnote>
  <w:footnote w:id="9">
    <w:p w14:paraId="6752274B" w14:textId="7BECA999" w:rsidR="000C254F" w:rsidRDefault="000C254F" w:rsidP="00A222D3">
      <w:pPr>
        <w:pStyle w:val="FootnoteText"/>
      </w:pPr>
      <w:r>
        <w:rPr>
          <w:rStyle w:val="FootnoteReference"/>
        </w:rPr>
        <w:footnoteRef/>
      </w:r>
      <w:r>
        <w:t xml:space="preserve"> See PSE memo page 2, For an EV project, “the demand from these chargers represents a huge increase to the total system demand, and as a result the cooperative intends to convert part of their system from 12.47 kV distribution voltage to 24.9 kV.”</w:t>
      </w:r>
      <w:r w:rsidR="00A222D3">
        <w:t xml:space="preserve"> </w:t>
      </w:r>
      <w:r w:rsidR="00A93A15">
        <w:t>See also,</w:t>
      </w:r>
      <w:r w:rsidR="00A222D3">
        <w:t xml:space="preserve"> Page 3: “</w:t>
      </w:r>
      <w:r w:rsidR="00A222D3">
        <w:t>DOE has stated that its analysis suggests that the heavier transformer designs</w:t>
      </w:r>
      <w:r w:rsidR="00A222D3">
        <w:t xml:space="preserve"> </w:t>
      </w:r>
      <w:r w:rsidR="00A222D3">
        <w:t>needed for compliance with the proposed rules will not require larger poles for like-for-like</w:t>
      </w:r>
      <w:r w:rsidR="00A222D3">
        <w:t xml:space="preserve"> </w:t>
      </w:r>
      <w:r w:rsidR="00A222D3">
        <w:t>replacements. However, we would not consider that to be the main concern for electric cooperatives; the</w:t>
      </w:r>
      <w:r w:rsidR="00A222D3">
        <w:t xml:space="preserve"> </w:t>
      </w:r>
      <w:r w:rsidR="00A222D3">
        <w:t>bigger concern would be around the transformer capacity upgrades that we (and the industry) expect</w:t>
      </w:r>
      <w:r w:rsidR="00A222D3">
        <w:t xml:space="preserve"> </w:t>
      </w:r>
      <w:r w:rsidR="00A222D3">
        <w:t>will be necessary to accommodate electrification initiatives like EV charging and all-electric buildings.</w:t>
      </w:r>
      <w:r w:rsidR="00A222D3">
        <w:t>”</w:t>
      </w:r>
    </w:p>
  </w:footnote>
  <w:footnote w:id="10">
    <w:p w14:paraId="17302531" w14:textId="5BDCE6F5" w:rsidR="00A222D3" w:rsidRDefault="00A222D3">
      <w:pPr>
        <w:pStyle w:val="FootnoteText"/>
      </w:pPr>
      <w:r>
        <w:rPr>
          <w:rStyle w:val="FootnoteReference"/>
        </w:rPr>
        <w:footnoteRef/>
      </w:r>
      <w:r>
        <w:t xml:space="preserve"> </w:t>
      </w:r>
      <w:r w:rsidR="00A93A15">
        <w:t xml:space="preserve">See </w:t>
      </w:r>
      <w:r>
        <w:t>PSE memo</w:t>
      </w:r>
      <w:r w:rsidR="00A93A15">
        <w:t>,</w:t>
      </w:r>
      <w:r>
        <w:t xml:space="preserve"> page 3</w:t>
      </w:r>
    </w:p>
  </w:footnote>
  <w:footnote w:id="11">
    <w:p w14:paraId="27F0B0E9" w14:textId="72196E7F" w:rsidR="00A222D3" w:rsidRDefault="00A222D3">
      <w:pPr>
        <w:pStyle w:val="FootnoteText"/>
      </w:pPr>
      <w:r>
        <w:rPr>
          <w:rStyle w:val="FootnoteReference"/>
        </w:rPr>
        <w:footnoteRef/>
      </w:r>
      <w:r>
        <w:t xml:space="preserve"> </w:t>
      </w:r>
      <w:r w:rsidR="00A93A15">
        <w:t xml:space="preserve">See </w:t>
      </w:r>
      <w:r>
        <w:t>PSE memo</w:t>
      </w:r>
      <w:r w:rsidR="00A93A15">
        <w:t>,</w:t>
      </w:r>
      <w:r>
        <w:t xml:space="preserve"> page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4ED8" w14:textId="5852DABC" w:rsidR="006317A6" w:rsidRPr="00350177" w:rsidRDefault="006317A6" w:rsidP="006317A6">
    <w:pPr>
      <w:pStyle w:val="Header"/>
    </w:pPr>
    <w:r w:rsidRPr="00350177">
      <w:t xml:space="preserve">Letter to U.S. Department of </w:t>
    </w:r>
    <w:r>
      <w:t>Energy</w:t>
    </w:r>
    <w:r w:rsidR="00226C50">
      <w:t xml:space="preserve"> – </w:t>
    </w:r>
    <w:r w:rsidR="00226C50" w:rsidRPr="00226C50">
      <w:rPr>
        <w:color w:val="FF0000"/>
      </w:rPr>
      <w:t>DRAFT- not for distribution outside NRECA membership</w:t>
    </w:r>
  </w:p>
  <w:p w14:paraId="2582588D" w14:textId="77777777" w:rsidR="006317A6" w:rsidRDefault="006317A6" w:rsidP="006317A6">
    <w:r w:rsidRPr="00350177">
      <w:t xml:space="preserve">RE: </w:t>
    </w:r>
    <w:r>
      <w:t>DOE</w:t>
    </w:r>
    <w:r w:rsidRPr="00350177">
      <w:t xml:space="preserve"> Proposed Rule for Distribution Transformers (EERE-2019-BT-STD-0018)</w:t>
    </w:r>
  </w:p>
  <w:p w14:paraId="71D12BE6" w14:textId="18EF0AE9" w:rsidR="002B213E" w:rsidRDefault="005648FE" w:rsidP="006317A6">
    <w:r>
      <w:t xml:space="preserve">March </w:t>
    </w:r>
    <w:r w:rsidR="006317A6">
      <w:t>27</w:t>
    </w:r>
    <w:r w:rsidR="00A6744B">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A932" w14:textId="764441E1" w:rsidR="00925743" w:rsidRPr="000723CC" w:rsidRDefault="00B60220" w:rsidP="00B22EC0">
    <w:pPr>
      <w:rPr>
        <w:b/>
        <w:bCs/>
      </w:rPr>
    </w:pPr>
    <w:bookmarkStart w:id="9" w:name="_Hlk491682937"/>
    <w:bookmarkStart w:id="10" w:name="_Hlk491682938"/>
    <w:bookmarkStart w:id="11" w:name="_Hlk491682939"/>
    <w:bookmarkStart w:id="12" w:name="_Hlk491682982"/>
    <w:bookmarkStart w:id="13" w:name="_Hlk491682983"/>
    <w:bookmarkStart w:id="14" w:name="_Hlk491682984"/>
    <w:r w:rsidRPr="006317A6">
      <w:rPr>
        <w:b/>
        <w:bCs/>
        <w:noProof/>
        <w:color w:val="FF0000"/>
      </w:rPr>
      <w:drawing>
        <wp:anchor distT="0" distB="0" distL="114300" distR="114300" simplePos="0" relativeHeight="251658752" behindDoc="1" locked="0" layoutInCell="1" allowOverlap="1" wp14:anchorId="5913A938" wp14:editId="5913A939">
          <wp:simplePos x="0" y="0"/>
          <wp:positionH relativeFrom="column">
            <wp:posOffset>-2540</wp:posOffset>
          </wp:positionH>
          <wp:positionV relativeFrom="paragraph">
            <wp:posOffset>-373380</wp:posOffset>
          </wp:positionV>
          <wp:extent cx="6856448" cy="11791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sers/rxc12/Documents/Projects/Board of Directors/Images/Whole page1.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6448" cy="1179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317A6" w:rsidRPr="006317A6">
      <w:rPr>
        <w:b/>
        <w:bCs/>
        <w:color w:val="FF0000"/>
      </w:rPr>
      <w:t>DRAFT</w:t>
    </w:r>
    <w:r w:rsidR="00226C50">
      <w:rPr>
        <w:b/>
        <w:bCs/>
        <w:color w:val="FF0000"/>
      </w:rPr>
      <w:t xml:space="preserve"> – not for distribution outside NRECA membership</w:t>
    </w:r>
  </w:p>
  <w:p w14:paraId="5913A933" w14:textId="77777777" w:rsidR="00925743" w:rsidRDefault="00925743" w:rsidP="00B22EC0"/>
  <w:p w14:paraId="5913A934" w14:textId="77777777" w:rsidR="00925743" w:rsidRDefault="00925743" w:rsidP="00B22EC0"/>
  <w:p w14:paraId="5913A935" w14:textId="77777777" w:rsidR="00925743" w:rsidRDefault="00925743" w:rsidP="00B22EC0"/>
  <w:bookmarkEnd w:id="9"/>
  <w:bookmarkEnd w:id="10"/>
  <w:bookmarkEnd w:id="11"/>
  <w:bookmarkEnd w:id="12"/>
  <w:bookmarkEnd w:id="13"/>
  <w:bookmarkEnd w:id="14"/>
  <w:p w14:paraId="5913A936" w14:textId="77777777" w:rsidR="00EF07CF" w:rsidRDefault="00EF07CF" w:rsidP="00B22E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4F7"/>
    <w:multiLevelType w:val="hybridMultilevel"/>
    <w:tmpl w:val="EE1E8394"/>
    <w:lvl w:ilvl="0" w:tplc="39C83922">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052BC86">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6A0244A">
      <w:numFmt w:val="bullet"/>
      <w:lvlText w:val="•"/>
      <w:lvlJc w:val="left"/>
      <w:pPr>
        <w:ind w:left="2751" w:hanging="360"/>
      </w:pPr>
      <w:rPr>
        <w:rFonts w:hint="default"/>
        <w:lang w:val="en-US" w:eastAsia="en-US" w:bidi="ar-SA"/>
      </w:rPr>
    </w:lvl>
    <w:lvl w:ilvl="3" w:tplc="A59E4AB8">
      <w:numFmt w:val="bullet"/>
      <w:lvlText w:val="•"/>
      <w:lvlJc w:val="left"/>
      <w:pPr>
        <w:ind w:left="3602" w:hanging="360"/>
      </w:pPr>
      <w:rPr>
        <w:rFonts w:hint="default"/>
        <w:lang w:val="en-US" w:eastAsia="en-US" w:bidi="ar-SA"/>
      </w:rPr>
    </w:lvl>
    <w:lvl w:ilvl="4" w:tplc="FE245C52">
      <w:numFmt w:val="bullet"/>
      <w:lvlText w:val="•"/>
      <w:lvlJc w:val="left"/>
      <w:pPr>
        <w:ind w:left="4453" w:hanging="360"/>
      </w:pPr>
      <w:rPr>
        <w:rFonts w:hint="default"/>
        <w:lang w:val="en-US" w:eastAsia="en-US" w:bidi="ar-SA"/>
      </w:rPr>
    </w:lvl>
    <w:lvl w:ilvl="5" w:tplc="0FD60AB4">
      <w:numFmt w:val="bullet"/>
      <w:lvlText w:val="•"/>
      <w:lvlJc w:val="left"/>
      <w:pPr>
        <w:ind w:left="5304" w:hanging="360"/>
      </w:pPr>
      <w:rPr>
        <w:rFonts w:hint="default"/>
        <w:lang w:val="en-US" w:eastAsia="en-US" w:bidi="ar-SA"/>
      </w:rPr>
    </w:lvl>
    <w:lvl w:ilvl="6" w:tplc="1F1E3A8C">
      <w:numFmt w:val="bullet"/>
      <w:lvlText w:val="•"/>
      <w:lvlJc w:val="left"/>
      <w:pPr>
        <w:ind w:left="6155" w:hanging="360"/>
      </w:pPr>
      <w:rPr>
        <w:rFonts w:hint="default"/>
        <w:lang w:val="en-US" w:eastAsia="en-US" w:bidi="ar-SA"/>
      </w:rPr>
    </w:lvl>
    <w:lvl w:ilvl="7" w:tplc="86305E38">
      <w:numFmt w:val="bullet"/>
      <w:lvlText w:val="•"/>
      <w:lvlJc w:val="left"/>
      <w:pPr>
        <w:ind w:left="7006" w:hanging="360"/>
      </w:pPr>
      <w:rPr>
        <w:rFonts w:hint="default"/>
        <w:lang w:val="en-US" w:eastAsia="en-US" w:bidi="ar-SA"/>
      </w:rPr>
    </w:lvl>
    <w:lvl w:ilvl="8" w:tplc="FCE6CEBE">
      <w:numFmt w:val="bullet"/>
      <w:lvlText w:val="•"/>
      <w:lvlJc w:val="left"/>
      <w:pPr>
        <w:ind w:left="7857" w:hanging="360"/>
      </w:pPr>
      <w:rPr>
        <w:rFonts w:hint="default"/>
        <w:lang w:val="en-US" w:eastAsia="en-US" w:bidi="ar-SA"/>
      </w:rPr>
    </w:lvl>
  </w:abstractNum>
  <w:abstractNum w:abstractNumId="1" w15:restartNumberingAfterBreak="0">
    <w:nsid w:val="187743A5"/>
    <w:multiLevelType w:val="hybridMultilevel"/>
    <w:tmpl w:val="C18A5D9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1CE944E3"/>
    <w:multiLevelType w:val="hybridMultilevel"/>
    <w:tmpl w:val="DCCA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36D9A"/>
    <w:multiLevelType w:val="hybridMultilevel"/>
    <w:tmpl w:val="5D9ED2F8"/>
    <w:lvl w:ilvl="0" w:tplc="34E6E82C">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351E2E42">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9B43F70">
      <w:numFmt w:val="bullet"/>
      <w:lvlText w:val="•"/>
      <w:lvlJc w:val="left"/>
      <w:pPr>
        <w:ind w:left="2751" w:hanging="360"/>
      </w:pPr>
      <w:rPr>
        <w:rFonts w:hint="default"/>
        <w:lang w:val="en-US" w:eastAsia="en-US" w:bidi="ar-SA"/>
      </w:rPr>
    </w:lvl>
    <w:lvl w:ilvl="3" w:tplc="207E08A2">
      <w:numFmt w:val="bullet"/>
      <w:lvlText w:val="•"/>
      <w:lvlJc w:val="left"/>
      <w:pPr>
        <w:ind w:left="3602" w:hanging="360"/>
      </w:pPr>
      <w:rPr>
        <w:rFonts w:hint="default"/>
        <w:lang w:val="en-US" w:eastAsia="en-US" w:bidi="ar-SA"/>
      </w:rPr>
    </w:lvl>
    <w:lvl w:ilvl="4" w:tplc="88106A48">
      <w:numFmt w:val="bullet"/>
      <w:lvlText w:val="•"/>
      <w:lvlJc w:val="left"/>
      <w:pPr>
        <w:ind w:left="4453" w:hanging="360"/>
      </w:pPr>
      <w:rPr>
        <w:rFonts w:hint="default"/>
        <w:lang w:val="en-US" w:eastAsia="en-US" w:bidi="ar-SA"/>
      </w:rPr>
    </w:lvl>
    <w:lvl w:ilvl="5" w:tplc="CA2455B8">
      <w:numFmt w:val="bullet"/>
      <w:lvlText w:val="•"/>
      <w:lvlJc w:val="left"/>
      <w:pPr>
        <w:ind w:left="5304" w:hanging="360"/>
      </w:pPr>
      <w:rPr>
        <w:rFonts w:hint="default"/>
        <w:lang w:val="en-US" w:eastAsia="en-US" w:bidi="ar-SA"/>
      </w:rPr>
    </w:lvl>
    <w:lvl w:ilvl="6" w:tplc="E29291BA">
      <w:numFmt w:val="bullet"/>
      <w:lvlText w:val="•"/>
      <w:lvlJc w:val="left"/>
      <w:pPr>
        <w:ind w:left="6155" w:hanging="360"/>
      </w:pPr>
      <w:rPr>
        <w:rFonts w:hint="default"/>
        <w:lang w:val="en-US" w:eastAsia="en-US" w:bidi="ar-SA"/>
      </w:rPr>
    </w:lvl>
    <w:lvl w:ilvl="7" w:tplc="1CE4B19C">
      <w:numFmt w:val="bullet"/>
      <w:lvlText w:val="•"/>
      <w:lvlJc w:val="left"/>
      <w:pPr>
        <w:ind w:left="7006" w:hanging="360"/>
      </w:pPr>
      <w:rPr>
        <w:rFonts w:hint="default"/>
        <w:lang w:val="en-US" w:eastAsia="en-US" w:bidi="ar-SA"/>
      </w:rPr>
    </w:lvl>
    <w:lvl w:ilvl="8" w:tplc="565EB932">
      <w:numFmt w:val="bullet"/>
      <w:lvlText w:val="•"/>
      <w:lvlJc w:val="left"/>
      <w:pPr>
        <w:ind w:left="7857" w:hanging="360"/>
      </w:pPr>
      <w:rPr>
        <w:rFonts w:hint="default"/>
        <w:lang w:val="en-US" w:eastAsia="en-US" w:bidi="ar-SA"/>
      </w:rPr>
    </w:lvl>
  </w:abstractNum>
  <w:abstractNum w:abstractNumId="4" w15:restartNumberingAfterBreak="0">
    <w:nsid w:val="28A15F88"/>
    <w:multiLevelType w:val="hybridMultilevel"/>
    <w:tmpl w:val="75780632"/>
    <w:lvl w:ilvl="0" w:tplc="F9FE36A8">
      <w:start w:val="7"/>
      <w:numFmt w:val="decimal"/>
      <w:lvlText w:val="%1)"/>
      <w:lvlJc w:val="left"/>
      <w:pPr>
        <w:ind w:left="1180" w:hanging="360"/>
      </w:pPr>
      <w:rPr>
        <w:rFonts w:ascii="Calibri" w:eastAsia="Calibri" w:hAnsi="Calibri" w:cs="Calibri" w:hint="default"/>
        <w:b w:val="0"/>
        <w:bCs w:val="0"/>
        <w:i w:val="0"/>
        <w:iCs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14AE5"/>
    <w:multiLevelType w:val="hybridMultilevel"/>
    <w:tmpl w:val="E9CAA442"/>
    <w:lvl w:ilvl="0" w:tplc="174C297C">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052BC86">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6A0244A">
      <w:numFmt w:val="bullet"/>
      <w:lvlText w:val="•"/>
      <w:lvlJc w:val="left"/>
      <w:pPr>
        <w:ind w:left="2751" w:hanging="360"/>
      </w:pPr>
      <w:rPr>
        <w:rFonts w:hint="default"/>
        <w:lang w:val="en-US" w:eastAsia="en-US" w:bidi="ar-SA"/>
      </w:rPr>
    </w:lvl>
    <w:lvl w:ilvl="3" w:tplc="A59E4AB8">
      <w:numFmt w:val="bullet"/>
      <w:lvlText w:val="•"/>
      <w:lvlJc w:val="left"/>
      <w:pPr>
        <w:ind w:left="3602" w:hanging="360"/>
      </w:pPr>
      <w:rPr>
        <w:rFonts w:hint="default"/>
        <w:lang w:val="en-US" w:eastAsia="en-US" w:bidi="ar-SA"/>
      </w:rPr>
    </w:lvl>
    <w:lvl w:ilvl="4" w:tplc="FE245C52">
      <w:numFmt w:val="bullet"/>
      <w:lvlText w:val="•"/>
      <w:lvlJc w:val="left"/>
      <w:pPr>
        <w:ind w:left="4453" w:hanging="360"/>
      </w:pPr>
      <w:rPr>
        <w:rFonts w:hint="default"/>
        <w:lang w:val="en-US" w:eastAsia="en-US" w:bidi="ar-SA"/>
      </w:rPr>
    </w:lvl>
    <w:lvl w:ilvl="5" w:tplc="0FD60AB4">
      <w:numFmt w:val="bullet"/>
      <w:lvlText w:val="•"/>
      <w:lvlJc w:val="left"/>
      <w:pPr>
        <w:ind w:left="5304" w:hanging="360"/>
      </w:pPr>
      <w:rPr>
        <w:rFonts w:hint="default"/>
        <w:lang w:val="en-US" w:eastAsia="en-US" w:bidi="ar-SA"/>
      </w:rPr>
    </w:lvl>
    <w:lvl w:ilvl="6" w:tplc="1F1E3A8C">
      <w:numFmt w:val="bullet"/>
      <w:lvlText w:val="•"/>
      <w:lvlJc w:val="left"/>
      <w:pPr>
        <w:ind w:left="6155" w:hanging="360"/>
      </w:pPr>
      <w:rPr>
        <w:rFonts w:hint="default"/>
        <w:lang w:val="en-US" w:eastAsia="en-US" w:bidi="ar-SA"/>
      </w:rPr>
    </w:lvl>
    <w:lvl w:ilvl="7" w:tplc="86305E38">
      <w:numFmt w:val="bullet"/>
      <w:lvlText w:val="•"/>
      <w:lvlJc w:val="left"/>
      <w:pPr>
        <w:ind w:left="7006" w:hanging="360"/>
      </w:pPr>
      <w:rPr>
        <w:rFonts w:hint="default"/>
        <w:lang w:val="en-US" w:eastAsia="en-US" w:bidi="ar-SA"/>
      </w:rPr>
    </w:lvl>
    <w:lvl w:ilvl="8" w:tplc="FCE6CEBE">
      <w:numFmt w:val="bullet"/>
      <w:lvlText w:val="•"/>
      <w:lvlJc w:val="left"/>
      <w:pPr>
        <w:ind w:left="7857" w:hanging="360"/>
      </w:pPr>
      <w:rPr>
        <w:rFonts w:hint="default"/>
        <w:lang w:val="en-US" w:eastAsia="en-US" w:bidi="ar-SA"/>
      </w:rPr>
    </w:lvl>
  </w:abstractNum>
  <w:abstractNum w:abstractNumId="6" w15:restartNumberingAfterBreak="0">
    <w:nsid w:val="2C71335A"/>
    <w:multiLevelType w:val="hybridMultilevel"/>
    <w:tmpl w:val="D0AE2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F0B46"/>
    <w:multiLevelType w:val="hybridMultilevel"/>
    <w:tmpl w:val="EE1E8394"/>
    <w:lvl w:ilvl="0" w:tplc="39C83922">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052BC86">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6A0244A">
      <w:numFmt w:val="bullet"/>
      <w:lvlText w:val="•"/>
      <w:lvlJc w:val="left"/>
      <w:pPr>
        <w:ind w:left="2751" w:hanging="360"/>
      </w:pPr>
      <w:rPr>
        <w:rFonts w:hint="default"/>
        <w:lang w:val="en-US" w:eastAsia="en-US" w:bidi="ar-SA"/>
      </w:rPr>
    </w:lvl>
    <w:lvl w:ilvl="3" w:tplc="A59E4AB8">
      <w:numFmt w:val="bullet"/>
      <w:lvlText w:val="•"/>
      <w:lvlJc w:val="left"/>
      <w:pPr>
        <w:ind w:left="3602" w:hanging="360"/>
      </w:pPr>
      <w:rPr>
        <w:rFonts w:hint="default"/>
        <w:lang w:val="en-US" w:eastAsia="en-US" w:bidi="ar-SA"/>
      </w:rPr>
    </w:lvl>
    <w:lvl w:ilvl="4" w:tplc="FE245C52">
      <w:numFmt w:val="bullet"/>
      <w:lvlText w:val="•"/>
      <w:lvlJc w:val="left"/>
      <w:pPr>
        <w:ind w:left="4453" w:hanging="360"/>
      </w:pPr>
      <w:rPr>
        <w:rFonts w:hint="default"/>
        <w:lang w:val="en-US" w:eastAsia="en-US" w:bidi="ar-SA"/>
      </w:rPr>
    </w:lvl>
    <w:lvl w:ilvl="5" w:tplc="0FD60AB4">
      <w:numFmt w:val="bullet"/>
      <w:lvlText w:val="•"/>
      <w:lvlJc w:val="left"/>
      <w:pPr>
        <w:ind w:left="5304" w:hanging="360"/>
      </w:pPr>
      <w:rPr>
        <w:rFonts w:hint="default"/>
        <w:lang w:val="en-US" w:eastAsia="en-US" w:bidi="ar-SA"/>
      </w:rPr>
    </w:lvl>
    <w:lvl w:ilvl="6" w:tplc="1F1E3A8C">
      <w:numFmt w:val="bullet"/>
      <w:lvlText w:val="•"/>
      <w:lvlJc w:val="left"/>
      <w:pPr>
        <w:ind w:left="6155" w:hanging="360"/>
      </w:pPr>
      <w:rPr>
        <w:rFonts w:hint="default"/>
        <w:lang w:val="en-US" w:eastAsia="en-US" w:bidi="ar-SA"/>
      </w:rPr>
    </w:lvl>
    <w:lvl w:ilvl="7" w:tplc="86305E38">
      <w:numFmt w:val="bullet"/>
      <w:lvlText w:val="•"/>
      <w:lvlJc w:val="left"/>
      <w:pPr>
        <w:ind w:left="7006" w:hanging="360"/>
      </w:pPr>
      <w:rPr>
        <w:rFonts w:hint="default"/>
        <w:lang w:val="en-US" w:eastAsia="en-US" w:bidi="ar-SA"/>
      </w:rPr>
    </w:lvl>
    <w:lvl w:ilvl="8" w:tplc="FCE6CEBE">
      <w:numFmt w:val="bullet"/>
      <w:lvlText w:val="•"/>
      <w:lvlJc w:val="left"/>
      <w:pPr>
        <w:ind w:left="7857" w:hanging="360"/>
      </w:pPr>
      <w:rPr>
        <w:rFonts w:hint="default"/>
        <w:lang w:val="en-US" w:eastAsia="en-US" w:bidi="ar-SA"/>
      </w:rPr>
    </w:lvl>
  </w:abstractNum>
  <w:abstractNum w:abstractNumId="8" w15:restartNumberingAfterBreak="0">
    <w:nsid w:val="372C47D9"/>
    <w:multiLevelType w:val="hybridMultilevel"/>
    <w:tmpl w:val="579A457A"/>
    <w:lvl w:ilvl="0" w:tplc="EA4867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94005"/>
    <w:multiLevelType w:val="hybridMultilevel"/>
    <w:tmpl w:val="7574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96A21"/>
    <w:multiLevelType w:val="hybridMultilevel"/>
    <w:tmpl w:val="93A0C796"/>
    <w:lvl w:ilvl="0" w:tplc="0B1A2DC8">
      <w:start w:val="1"/>
      <w:numFmt w:val="bullet"/>
      <w:pStyle w:val="BulletedDefaultList"/>
      <w:lvlText w:val=""/>
      <w:lvlJc w:val="left"/>
      <w:pPr>
        <w:ind w:left="360" w:hanging="360"/>
      </w:pPr>
      <w:rPr>
        <w:rFonts w:ascii="Symbol" w:hAnsi="Symbol" w:hint="default"/>
        <w:color w:val="008953"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E6C31"/>
    <w:multiLevelType w:val="hybridMultilevel"/>
    <w:tmpl w:val="3250945A"/>
    <w:lvl w:ilvl="0" w:tplc="9B6E4316">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052BC86">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6A0244A">
      <w:numFmt w:val="bullet"/>
      <w:lvlText w:val="•"/>
      <w:lvlJc w:val="left"/>
      <w:pPr>
        <w:ind w:left="2751" w:hanging="360"/>
      </w:pPr>
      <w:rPr>
        <w:rFonts w:hint="default"/>
        <w:lang w:val="en-US" w:eastAsia="en-US" w:bidi="ar-SA"/>
      </w:rPr>
    </w:lvl>
    <w:lvl w:ilvl="3" w:tplc="A59E4AB8">
      <w:numFmt w:val="bullet"/>
      <w:lvlText w:val="•"/>
      <w:lvlJc w:val="left"/>
      <w:pPr>
        <w:ind w:left="3602" w:hanging="360"/>
      </w:pPr>
      <w:rPr>
        <w:rFonts w:hint="default"/>
        <w:lang w:val="en-US" w:eastAsia="en-US" w:bidi="ar-SA"/>
      </w:rPr>
    </w:lvl>
    <w:lvl w:ilvl="4" w:tplc="FE245C52">
      <w:numFmt w:val="bullet"/>
      <w:lvlText w:val="•"/>
      <w:lvlJc w:val="left"/>
      <w:pPr>
        <w:ind w:left="4453" w:hanging="360"/>
      </w:pPr>
      <w:rPr>
        <w:rFonts w:hint="default"/>
        <w:lang w:val="en-US" w:eastAsia="en-US" w:bidi="ar-SA"/>
      </w:rPr>
    </w:lvl>
    <w:lvl w:ilvl="5" w:tplc="0FD60AB4">
      <w:numFmt w:val="bullet"/>
      <w:lvlText w:val="•"/>
      <w:lvlJc w:val="left"/>
      <w:pPr>
        <w:ind w:left="5304" w:hanging="360"/>
      </w:pPr>
      <w:rPr>
        <w:rFonts w:hint="default"/>
        <w:lang w:val="en-US" w:eastAsia="en-US" w:bidi="ar-SA"/>
      </w:rPr>
    </w:lvl>
    <w:lvl w:ilvl="6" w:tplc="1F1E3A8C">
      <w:numFmt w:val="bullet"/>
      <w:lvlText w:val="•"/>
      <w:lvlJc w:val="left"/>
      <w:pPr>
        <w:ind w:left="6155" w:hanging="360"/>
      </w:pPr>
      <w:rPr>
        <w:rFonts w:hint="default"/>
        <w:lang w:val="en-US" w:eastAsia="en-US" w:bidi="ar-SA"/>
      </w:rPr>
    </w:lvl>
    <w:lvl w:ilvl="7" w:tplc="86305E38">
      <w:numFmt w:val="bullet"/>
      <w:lvlText w:val="•"/>
      <w:lvlJc w:val="left"/>
      <w:pPr>
        <w:ind w:left="7006" w:hanging="360"/>
      </w:pPr>
      <w:rPr>
        <w:rFonts w:hint="default"/>
        <w:lang w:val="en-US" w:eastAsia="en-US" w:bidi="ar-SA"/>
      </w:rPr>
    </w:lvl>
    <w:lvl w:ilvl="8" w:tplc="FCE6CEBE">
      <w:numFmt w:val="bullet"/>
      <w:lvlText w:val="•"/>
      <w:lvlJc w:val="left"/>
      <w:pPr>
        <w:ind w:left="7857" w:hanging="360"/>
      </w:pPr>
      <w:rPr>
        <w:rFonts w:hint="default"/>
        <w:lang w:val="en-US" w:eastAsia="en-US" w:bidi="ar-SA"/>
      </w:rPr>
    </w:lvl>
  </w:abstractNum>
  <w:abstractNum w:abstractNumId="12" w15:restartNumberingAfterBreak="0">
    <w:nsid w:val="551E364E"/>
    <w:multiLevelType w:val="hybridMultilevel"/>
    <w:tmpl w:val="34A406DA"/>
    <w:lvl w:ilvl="0" w:tplc="574C59BC">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E7E287C6">
      <w:numFmt w:val="bullet"/>
      <w:lvlText w:val="•"/>
      <w:lvlJc w:val="left"/>
      <w:pPr>
        <w:ind w:left="2018" w:hanging="360"/>
      </w:pPr>
      <w:rPr>
        <w:rFonts w:hint="default"/>
        <w:lang w:val="en-US" w:eastAsia="en-US" w:bidi="ar-SA"/>
      </w:rPr>
    </w:lvl>
    <w:lvl w:ilvl="2" w:tplc="579092DE">
      <w:numFmt w:val="bullet"/>
      <w:lvlText w:val="•"/>
      <w:lvlJc w:val="left"/>
      <w:pPr>
        <w:ind w:left="2856" w:hanging="360"/>
      </w:pPr>
      <w:rPr>
        <w:rFonts w:hint="default"/>
        <w:lang w:val="en-US" w:eastAsia="en-US" w:bidi="ar-SA"/>
      </w:rPr>
    </w:lvl>
    <w:lvl w:ilvl="3" w:tplc="CB3064DE">
      <w:numFmt w:val="bullet"/>
      <w:lvlText w:val="•"/>
      <w:lvlJc w:val="left"/>
      <w:pPr>
        <w:ind w:left="3694" w:hanging="360"/>
      </w:pPr>
      <w:rPr>
        <w:rFonts w:hint="default"/>
        <w:lang w:val="en-US" w:eastAsia="en-US" w:bidi="ar-SA"/>
      </w:rPr>
    </w:lvl>
    <w:lvl w:ilvl="4" w:tplc="3926CB36">
      <w:numFmt w:val="bullet"/>
      <w:lvlText w:val="•"/>
      <w:lvlJc w:val="left"/>
      <w:pPr>
        <w:ind w:left="4532" w:hanging="360"/>
      </w:pPr>
      <w:rPr>
        <w:rFonts w:hint="default"/>
        <w:lang w:val="en-US" w:eastAsia="en-US" w:bidi="ar-SA"/>
      </w:rPr>
    </w:lvl>
    <w:lvl w:ilvl="5" w:tplc="9246F7C4">
      <w:numFmt w:val="bullet"/>
      <w:lvlText w:val="•"/>
      <w:lvlJc w:val="left"/>
      <w:pPr>
        <w:ind w:left="5370" w:hanging="360"/>
      </w:pPr>
      <w:rPr>
        <w:rFonts w:hint="default"/>
        <w:lang w:val="en-US" w:eastAsia="en-US" w:bidi="ar-SA"/>
      </w:rPr>
    </w:lvl>
    <w:lvl w:ilvl="6" w:tplc="CFDEFE3A">
      <w:numFmt w:val="bullet"/>
      <w:lvlText w:val="•"/>
      <w:lvlJc w:val="left"/>
      <w:pPr>
        <w:ind w:left="6208" w:hanging="360"/>
      </w:pPr>
      <w:rPr>
        <w:rFonts w:hint="default"/>
        <w:lang w:val="en-US" w:eastAsia="en-US" w:bidi="ar-SA"/>
      </w:rPr>
    </w:lvl>
    <w:lvl w:ilvl="7" w:tplc="B3823414">
      <w:numFmt w:val="bullet"/>
      <w:lvlText w:val="•"/>
      <w:lvlJc w:val="left"/>
      <w:pPr>
        <w:ind w:left="7046" w:hanging="360"/>
      </w:pPr>
      <w:rPr>
        <w:rFonts w:hint="default"/>
        <w:lang w:val="en-US" w:eastAsia="en-US" w:bidi="ar-SA"/>
      </w:rPr>
    </w:lvl>
    <w:lvl w:ilvl="8" w:tplc="3D0C7B94">
      <w:numFmt w:val="bullet"/>
      <w:lvlText w:val="•"/>
      <w:lvlJc w:val="left"/>
      <w:pPr>
        <w:ind w:left="7884" w:hanging="360"/>
      </w:pPr>
      <w:rPr>
        <w:rFonts w:hint="default"/>
        <w:lang w:val="en-US" w:eastAsia="en-US" w:bidi="ar-SA"/>
      </w:rPr>
    </w:lvl>
  </w:abstractNum>
  <w:abstractNum w:abstractNumId="13" w15:restartNumberingAfterBreak="0">
    <w:nsid w:val="55667F91"/>
    <w:multiLevelType w:val="hybridMultilevel"/>
    <w:tmpl w:val="A99EA766"/>
    <w:lvl w:ilvl="0" w:tplc="806AB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14FC1"/>
    <w:multiLevelType w:val="hybridMultilevel"/>
    <w:tmpl w:val="D626FC08"/>
    <w:lvl w:ilvl="0" w:tplc="53F668DC">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351E2E42">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9B43F70">
      <w:numFmt w:val="bullet"/>
      <w:lvlText w:val="•"/>
      <w:lvlJc w:val="left"/>
      <w:pPr>
        <w:ind w:left="2751" w:hanging="360"/>
      </w:pPr>
      <w:rPr>
        <w:rFonts w:hint="default"/>
        <w:lang w:val="en-US" w:eastAsia="en-US" w:bidi="ar-SA"/>
      </w:rPr>
    </w:lvl>
    <w:lvl w:ilvl="3" w:tplc="207E08A2">
      <w:numFmt w:val="bullet"/>
      <w:lvlText w:val="•"/>
      <w:lvlJc w:val="left"/>
      <w:pPr>
        <w:ind w:left="3602" w:hanging="360"/>
      </w:pPr>
      <w:rPr>
        <w:rFonts w:hint="default"/>
        <w:lang w:val="en-US" w:eastAsia="en-US" w:bidi="ar-SA"/>
      </w:rPr>
    </w:lvl>
    <w:lvl w:ilvl="4" w:tplc="88106A48">
      <w:numFmt w:val="bullet"/>
      <w:lvlText w:val="•"/>
      <w:lvlJc w:val="left"/>
      <w:pPr>
        <w:ind w:left="4453" w:hanging="360"/>
      </w:pPr>
      <w:rPr>
        <w:rFonts w:hint="default"/>
        <w:lang w:val="en-US" w:eastAsia="en-US" w:bidi="ar-SA"/>
      </w:rPr>
    </w:lvl>
    <w:lvl w:ilvl="5" w:tplc="CA2455B8">
      <w:numFmt w:val="bullet"/>
      <w:lvlText w:val="•"/>
      <w:lvlJc w:val="left"/>
      <w:pPr>
        <w:ind w:left="5304" w:hanging="360"/>
      </w:pPr>
      <w:rPr>
        <w:rFonts w:hint="default"/>
        <w:lang w:val="en-US" w:eastAsia="en-US" w:bidi="ar-SA"/>
      </w:rPr>
    </w:lvl>
    <w:lvl w:ilvl="6" w:tplc="E29291BA">
      <w:numFmt w:val="bullet"/>
      <w:lvlText w:val="•"/>
      <w:lvlJc w:val="left"/>
      <w:pPr>
        <w:ind w:left="6155" w:hanging="360"/>
      </w:pPr>
      <w:rPr>
        <w:rFonts w:hint="default"/>
        <w:lang w:val="en-US" w:eastAsia="en-US" w:bidi="ar-SA"/>
      </w:rPr>
    </w:lvl>
    <w:lvl w:ilvl="7" w:tplc="1CE4B19C">
      <w:numFmt w:val="bullet"/>
      <w:lvlText w:val="•"/>
      <w:lvlJc w:val="left"/>
      <w:pPr>
        <w:ind w:left="7006" w:hanging="360"/>
      </w:pPr>
      <w:rPr>
        <w:rFonts w:hint="default"/>
        <w:lang w:val="en-US" w:eastAsia="en-US" w:bidi="ar-SA"/>
      </w:rPr>
    </w:lvl>
    <w:lvl w:ilvl="8" w:tplc="565EB932">
      <w:numFmt w:val="bullet"/>
      <w:lvlText w:val="•"/>
      <w:lvlJc w:val="left"/>
      <w:pPr>
        <w:ind w:left="7857" w:hanging="360"/>
      </w:pPr>
      <w:rPr>
        <w:rFonts w:hint="default"/>
        <w:lang w:val="en-US" w:eastAsia="en-US" w:bidi="ar-SA"/>
      </w:rPr>
    </w:lvl>
  </w:abstractNum>
  <w:abstractNum w:abstractNumId="15" w15:restartNumberingAfterBreak="0">
    <w:nsid w:val="6C68331F"/>
    <w:multiLevelType w:val="hybridMultilevel"/>
    <w:tmpl w:val="B4E2D3B4"/>
    <w:lvl w:ilvl="0" w:tplc="181E8C06">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35FA47E0">
      <w:numFmt w:val="bullet"/>
      <w:lvlText w:val="•"/>
      <w:lvlJc w:val="left"/>
      <w:pPr>
        <w:ind w:left="2018" w:hanging="360"/>
      </w:pPr>
      <w:rPr>
        <w:rFonts w:hint="default"/>
        <w:lang w:val="en-US" w:eastAsia="en-US" w:bidi="ar-SA"/>
      </w:rPr>
    </w:lvl>
    <w:lvl w:ilvl="2" w:tplc="B17C85DC">
      <w:numFmt w:val="bullet"/>
      <w:lvlText w:val="•"/>
      <w:lvlJc w:val="left"/>
      <w:pPr>
        <w:ind w:left="2856" w:hanging="360"/>
      </w:pPr>
      <w:rPr>
        <w:rFonts w:hint="default"/>
        <w:lang w:val="en-US" w:eastAsia="en-US" w:bidi="ar-SA"/>
      </w:rPr>
    </w:lvl>
    <w:lvl w:ilvl="3" w:tplc="EBE8C3B8">
      <w:numFmt w:val="bullet"/>
      <w:lvlText w:val="•"/>
      <w:lvlJc w:val="left"/>
      <w:pPr>
        <w:ind w:left="3694" w:hanging="360"/>
      </w:pPr>
      <w:rPr>
        <w:rFonts w:hint="default"/>
        <w:lang w:val="en-US" w:eastAsia="en-US" w:bidi="ar-SA"/>
      </w:rPr>
    </w:lvl>
    <w:lvl w:ilvl="4" w:tplc="14DC9EFC">
      <w:numFmt w:val="bullet"/>
      <w:lvlText w:val="•"/>
      <w:lvlJc w:val="left"/>
      <w:pPr>
        <w:ind w:left="4532" w:hanging="360"/>
      </w:pPr>
      <w:rPr>
        <w:rFonts w:hint="default"/>
        <w:lang w:val="en-US" w:eastAsia="en-US" w:bidi="ar-SA"/>
      </w:rPr>
    </w:lvl>
    <w:lvl w:ilvl="5" w:tplc="B29CA216">
      <w:numFmt w:val="bullet"/>
      <w:lvlText w:val="•"/>
      <w:lvlJc w:val="left"/>
      <w:pPr>
        <w:ind w:left="5370" w:hanging="360"/>
      </w:pPr>
      <w:rPr>
        <w:rFonts w:hint="default"/>
        <w:lang w:val="en-US" w:eastAsia="en-US" w:bidi="ar-SA"/>
      </w:rPr>
    </w:lvl>
    <w:lvl w:ilvl="6" w:tplc="9BB88F88">
      <w:numFmt w:val="bullet"/>
      <w:lvlText w:val="•"/>
      <w:lvlJc w:val="left"/>
      <w:pPr>
        <w:ind w:left="6208" w:hanging="360"/>
      </w:pPr>
      <w:rPr>
        <w:rFonts w:hint="default"/>
        <w:lang w:val="en-US" w:eastAsia="en-US" w:bidi="ar-SA"/>
      </w:rPr>
    </w:lvl>
    <w:lvl w:ilvl="7" w:tplc="D0D63F0E">
      <w:numFmt w:val="bullet"/>
      <w:lvlText w:val="•"/>
      <w:lvlJc w:val="left"/>
      <w:pPr>
        <w:ind w:left="7046" w:hanging="360"/>
      </w:pPr>
      <w:rPr>
        <w:rFonts w:hint="default"/>
        <w:lang w:val="en-US" w:eastAsia="en-US" w:bidi="ar-SA"/>
      </w:rPr>
    </w:lvl>
    <w:lvl w:ilvl="8" w:tplc="88F6E7C2">
      <w:numFmt w:val="bullet"/>
      <w:lvlText w:val="•"/>
      <w:lvlJc w:val="left"/>
      <w:pPr>
        <w:ind w:left="7884" w:hanging="360"/>
      </w:pPr>
      <w:rPr>
        <w:rFonts w:hint="default"/>
        <w:lang w:val="en-US" w:eastAsia="en-US" w:bidi="ar-SA"/>
      </w:rPr>
    </w:lvl>
  </w:abstractNum>
  <w:abstractNum w:abstractNumId="16" w15:restartNumberingAfterBreak="0">
    <w:nsid w:val="72CC5F8D"/>
    <w:multiLevelType w:val="hybridMultilevel"/>
    <w:tmpl w:val="D51C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1D1D76"/>
    <w:multiLevelType w:val="hybridMultilevel"/>
    <w:tmpl w:val="C7C4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90D1D"/>
    <w:multiLevelType w:val="hybridMultilevel"/>
    <w:tmpl w:val="A17C9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093689">
    <w:abstractNumId w:val="9"/>
  </w:num>
  <w:num w:numId="2" w16cid:durableId="2141998606">
    <w:abstractNumId w:val="8"/>
  </w:num>
  <w:num w:numId="3" w16cid:durableId="2080904613">
    <w:abstractNumId w:val="10"/>
  </w:num>
  <w:num w:numId="4" w16cid:durableId="1421216671">
    <w:abstractNumId w:val="1"/>
  </w:num>
  <w:num w:numId="5" w16cid:durableId="1340427460">
    <w:abstractNumId w:val="3"/>
  </w:num>
  <w:num w:numId="6" w16cid:durableId="1473326034">
    <w:abstractNumId w:val="14"/>
  </w:num>
  <w:num w:numId="7" w16cid:durableId="1506358688">
    <w:abstractNumId w:val="5"/>
  </w:num>
  <w:num w:numId="8" w16cid:durableId="716660580">
    <w:abstractNumId w:val="17"/>
  </w:num>
  <w:num w:numId="9" w16cid:durableId="2037270978">
    <w:abstractNumId w:val="15"/>
  </w:num>
  <w:num w:numId="10" w16cid:durableId="1699040248">
    <w:abstractNumId w:val="12"/>
  </w:num>
  <w:num w:numId="11" w16cid:durableId="756630842">
    <w:abstractNumId w:val="0"/>
  </w:num>
  <w:num w:numId="12" w16cid:durableId="1120876405">
    <w:abstractNumId w:val="7"/>
  </w:num>
  <w:num w:numId="13" w16cid:durableId="1998877360">
    <w:abstractNumId w:val="4"/>
  </w:num>
  <w:num w:numId="14" w16cid:durableId="953173475">
    <w:abstractNumId w:val="11"/>
  </w:num>
  <w:num w:numId="15" w16cid:durableId="2046054458">
    <w:abstractNumId w:val="6"/>
  </w:num>
  <w:num w:numId="16" w16cid:durableId="357976750">
    <w:abstractNumId w:val="18"/>
  </w:num>
  <w:num w:numId="17" w16cid:durableId="508980963">
    <w:abstractNumId w:val="16"/>
  </w:num>
  <w:num w:numId="18" w16cid:durableId="1968972490">
    <w:abstractNumId w:val="2"/>
  </w:num>
  <w:num w:numId="19" w16cid:durableId="20655210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1E"/>
    <w:rsid w:val="00024977"/>
    <w:rsid w:val="00032C61"/>
    <w:rsid w:val="00042E14"/>
    <w:rsid w:val="000476F3"/>
    <w:rsid w:val="00050AA9"/>
    <w:rsid w:val="000651F3"/>
    <w:rsid w:val="00067A14"/>
    <w:rsid w:val="000723CC"/>
    <w:rsid w:val="000A0F54"/>
    <w:rsid w:val="000A2DD2"/>
    <w:rsid w:val="000A61CB"/>
    <w:rsid w:val="000B100C"/>
    <w:rsid w:val="000B4368"/>
    <w:rsid w:val="000C0CD6"/>
    <w:rsid w:val="000C2011"/>
    <w:rsid w:val="000C254F"/>
    <w:rsid w:val="000C5C7B"/>
    <w:rsid w:val="000C79BD"/>
    <w:rsid w:val="000E2AEB"/>
    <w:rsid w:val="000E4CFD"/>
    <w:rsid w:val="000F4094"/>
    <w:rsid w:val="0011003A"/>
    <w:rsid w:val="00110C82"/>
    <w:rsid w:val="0011182E"/>
    <w:rsid w:val="00114A7A"/>
    <w:rsid w:val="0012748E"/>
    <w:rsid w:val="001312DA"/>
    <w:rsid w:val="00133F09"/>
    <w:rsid w:val="001363E3"/>
    <w:rsid w:val="00140CEF"/>
    <w:rsid w:val="00143F12"/>
    <w:rsid w:val="0016115E"/>
    <w:rsid w:val="001658AF"/>
    <w:rsid w:val="00186F1C"/>
    <w:rsid w:val="00192E53"/>
    <w:rsid w:val="001A402C"/>
    <w:rsid w:val="001C3C37"/>
    <w:rsid w:val="001D0B5A"/>
    <w:rsid w:val="001D22F8"/>
    <w:rsid w:val="001E52BF"/>
    <w:rsid w:val="0020183D"/>
    <w:rsid w:val="0021164B"/>
    <w:rsid w:val="00216918"/>
    <w:rsid w:val="00226C50"/>
    <w:rsid w:val="00227DD4"/>
    <w:rsid w:val="00231166"/>
    <w:rsid w:val="00234430"/>
    <w:rsid w:val="0023728F"/>
    <w:rsid w:val="002620C5"/>
    <w:rsid w:val="00263BFC"/>
    <w:rsid w:val="00271FE9"/>
    <w:rsid w:val="00277C14"/>
    <w:rsid w:val="00280003"/>
    <w:rsid w:val="0028233C"/>
    <w:rsid w:val="00283C96"/>
    <w:rsid w:val="00284FEA"/>
    <w:rsid w:val="00290301"/>
    <w:rsid w:val="002A40B2"/>
    <w:rsid w:val="002B202A"/>
    <w:rsid w:val="002B213E"/>
    <w:rsid w:val="002C200A"/>
    <w:rsid w:val="002C20AD"/>
    <w:rsid w:val="002C4E94"/>
    <w:rsid w:val="002D3CE3"/>
    <w:rsid w:val="002D54DC"/>
    <w:rsid w:val="002F59CD"/>
    <w:rsid w:val="00323CB0"/>
    <w:rsid w:val="003329FF"/>
    <w:rsid w:val="00341CDB"/>
    <w:rsid w:val="00344AC2"/>
    <w:rsid w:val="00352D11"/>
    <w:rsid w:val="0035391A"/>
    <w:rsid w:val="00364E18"/>
    <w:rsid w:val="00371A9E"/>
    <w:rsid w:val="00375790"/>
    <w:rsid w:val="00381511"/>
    <w:rsid w:val="00382E05"/>
    <w:rsid w:val="003A17F3"/>
    <w:rsid w:val="003A36AB"/>
    <w:rsid w:val="003A7F2A"/>
    <w:rsid w:val="003D2562"/>
    <w:rsid w:val="003D544F"/>
    <w:rsid w:val="003F4753"/>
    <w:rsid w:val="003F57CB"/>
    <w:rsid w:val="00410E24"/>
    <w:rsid w:val="0043087F"/>
    <w:rsid w:val="00442710"/>
    <w:rsid w:val="004436B0"/>
    <w:rsid w:val="004614A4"/>
    <w:rsid w:val="0048155F"/>
    <w:rsid w:val="00481BE5"/>
    <w:rsid w:val="004843D3"/>
    <w:rsid w:val="0048610F"/>
    <w:rsid w:val="0049378B"/>
    <w:rsid w:val="004A430F"/>
    <w:rsid w:val="004A5C11"/>
    <w:rsid w:val="004B5187"/>
    <w:rsid w:val="004B760D"/>
    <w:rsid w:val="004D0F5F"/>
    <w:rsid w:val="004D1B20"/>
    <w:rsid w:val="004D2E2B"/>
    <w:rsid w:val="004D349E"/>
    <w:rsid w:val="004D53E0"/>
    <w:rsid w:val="004D6EEB"/>
    <w:rsid w:val="004D7284"/>
    <w:rsid w:val="004E1BD9"/>
    <w:rsid w:val="004E4124"/>
    <w:rsid w:val="004F05C3"/>
    <w:rsid w:val="004F1B5C"/>
    <w:rsid w:val="00501D1F"/>
    <w:rsid w:val="0050276A"/>
    <w:rsid w:val="0050676F"/>
    <w:rsid w:val="0051518F"/>
    <w:rsid w:val="00526316"/>
    <w:rsid w:val="005363CA"/>
    <w:rsid w:val="00541589"/>
    <w:rsid w:val="00545276"/>
    <w:rsid w:val="005618AA"/>
    <w:rsid w:val="00562E0A"/>
    <w:rsid w:val="005648FE"/>
    <w:rsid w:val="0056791A"/>
    <w:rsid w:val="00572BF6"/>
    <w:rsid w:val="00582084"/>
    <w:rsid w:val="00584743"/>
    <w:rsid w:val="00593CB9"/>
    <w:rsid w:val="00596F37"/>
    <w:rsid w:val="0059706C"/>
    <w:rsid w:val="005A2EB8"/>
    <w:rsid w:val="005A69A6"/>
    <w:rsid w:val="005B3E43"/>
    <w:rsid w:val="005E0366"/>
    <w:rsid w:val="005E576A"/>
    <w:rsid w:val="006030E6"/>
    <w:rsid w:val="00605643"/>
    <w:rsid w:val="00607D7B"/>
    <w:rsid w:val="00611074"/>
    <w:rsid w:val="0061574A"/>
    <w:rsid w:val="00623826"/>
    <w:rsid w:val="0063096D"/>
    <w:rsid w:val="006317A6"/>
    <w:rsid w:val="006343BE"/>
    <w:rsid w:val="00641402"/>
    <w:rsid w:val="0064331C"/>
    <w:rsid w:val="00650BAC"/>
    <w:rsid w:val="006626F6"/>
    <w:rsid w:val="00664204"/>
    <w:rsid w:val="00694448"/>
    <w:rsid w:val="006A214D"/>
    <w:rsid w:val="006A328F"/>
    <w:rsid w:val="006A4455"/>
    <w:rsid w:val="006A6DA7"/>
    <w:rsid w:val="006A7B72"/>
    <w:rsid w:val="006B4750"/>
    <w:rsid w:val="006B7827"/>
    <w:rsid w:val="006D0858"/>
    <w:rsid w:val="006E3489"/>
    <w:rsid w:val="006E6FD0"/>
    <w:rsid w:val="007001BC"/>
    <w:rsid w:val="00701D58"/>
    <w:rsid w:val="0070696E"/>
    <w:rsid w:val="007069A4"/>
    <w:rsid w:val="00706B12"/>
    <w:rsid w:val="007074F6"/>
    <w:rsid w:val="007174BC"/>
    <w:rsid w:val="00721EA9"/>
    <w:rsid w:val="0073300C"/>
    <w:rsid w:val="00754EE4"/>
    <w:rsid w:val="007751F3"/>
    <w:rsid w:val="00776486"/>
    <w:rsid w:val="0079312B"/>
    <w:rsid w:val="007B7E5D"/>
    <w:rsid w:val="007C0D15"/>
    <w:rsid w:val="007C27C2"/>
    <w:rsid w:val="007C5358"/>
    <w:rsid w:val="007D7D99"/>
    <w:rsid w:val="007E727A"/>
    <w:rsid w:val="007F1C90"/>
    <w:rsid w:val="007F2461"/>
    <w:rsid w:val="0080089A"/>
    <w:rsid w:val="008123DA"/>
    <w:rsid w:val="00813736"/>
    <w:rsid w:val="008151B0"/>
    <w:rsid w:val="008201E8"/>
    <w:rsid w:val="008248BB"/>
    <w:rsid w:val="00832519"/>
    <w:rsid w:val="008347C3"/>
    <w:rsid w:val="0083660A"/>
    <w:rsid w:val="00841C6F"/>
    <w:rsid w:val="00843B5A"/>
    <w:rsid w:val="008444EA"/>
    <w:rsid w:val="00846A0A"/>
    <w:rsid w:val="00850FDC"/>
    <w:rsid w:val="00851607"/>
    <w:rsid w:val="008705B3"/>
    <w:rsid w:val="00872086"/>
    <w:rsid w:val="00877ADE"/>
    <w:rsid w:val="00894683"/>
    <w:rsid w:val="008A17B1"/>
    <w:rsid w:val="008C3700"/>
    <w:rsid w:val="008D1636"/>
    <w:rsid w:val="008E035D"/>
    <w:rsid w:val="008E5001"/>
    <w:rsid w:val="008F14B2"/>
    <w:rsid w:val="00904401"/>
    <w:rsid w:val="00905688"/>
    <w:rsid w:val="00915BCF"/>
    <w:rsid w:val="009164AC"/>
    <w:rsid w:val="00925743"/>
    <w:rsid w:val="00927A7D"/>
    <w:rsid w:val="0094113C"/>
    <w:rsid w:val="00944636"/>
    <w:rsid w:val="00955736"/>
    <w:rsid w:val="009572CE"/>
    <w:rsid w:val="0097003D"/>
    <w:rsid w:val="009854D8"/>
    <w:rsid w:val="00986AEA"/>
    <w:rsid w:val="009930AA"/>
    <w:rsid w:val="00997587"/>
    <w:rsid w:val="009A2D34"/>
    <w:rsid w:val="009B6A98"/>
    <w:rsid w:val="009C7EAB"/>
    <w:rsid w:val="009D27E1"/>
    <w:rsid w:val="009D3985"/>
    <w:rsid w:val="009D7DB4"/>
    <w:rsid w:val="009E2755"/>
    <w:rsid w:val="009E425C"/>
    <w:rsid w:val="009E4CC4"/>
    <w:rsid w:val="009F42FE"/>
    <w:rsid w:val="00A06FE8"/>
    <w:rsid w:val="00A11838"/>
    <w:rsid w:val="00A125E3"/>
    <w:rsid w:val="00A16AEF"/>
    <w:rsid w:val="00A215D2"/>
    <w:rsid w:val="00A222D3"/>
    <w:rsid w:val="00A32681"/>
    <w:rsid w:val="00A43412"/>
    <w:rsid w:val="00A46649"/>
    <w:rsid w:val="00A53233"/>
    <w:rsid w:val="00A5359B"/>
    <w:rsid w:val="00A6744B"/>
    <w:rsid w:val="00A76F51"/>
    <w:rsid w:val="00A77811"/>
    <w:rsid w:val="00A80C01"/>
    <w:rsid w:val="00A93A15"/>
    <w:rsid w:val="00AA39C6"/>
    <w:rsid w:val="00AA3F00"/>
    <w:rsid w:val="00AB49C7"/>
    <w:rsid w:val="00AB679A"/>
    <w:rsid w:val="00AD6ADE"/>
    <w:rsid w:val="00AE4194"/>
    <w:rsid w:val="00B06A6E"/>
    <w:rsid w:val="00B104F5"/>
    <w:rsid w:val="00B11224"/>
    <w:rsid w:val="00B17F6C"/>
    <w:rsid w:val="00B22EC0"/>
    <w:rsid w:val="00B25EAE"/>
    <w:rsid w:val="00B3795D"/>
    <w:rsid w:val="00B37EFE"/>
    <w:rsid w:val="00B453CB"/>
    <w:rsid w:val="00B53332"/>
    <w:rsid w:val="00B55A93"/>
    <w:rsid w:val="00B60220"/>
    <w:rsid w:val="00B7714B"/>
    <w:rsid w:val="00B917F6"/>
    <w:rsid w:val="00BB3111"/>
    <w:rsid w:val="00BB4033"/>
    <w:rsid w:val="00BC69E5"/>
    <w:rsid w:val="00BD633D"/>
    <w:rsid w:val="00BE5F1A"/>
    <w:rsid w:val="00BF1280"/>
    <w:rsid w:val="00BF2B90"/>
    <w:rsid w:val="00BF501E"/>
    <w:rsid w:val="00C0080F"/>
    <w:rsid w:val="00C009FA"/>
    <w:rsid w:val="00C01536"/>
    <w:rsid w:val="00C11D5E"/>
    <w:rsid w:val="00C12DE5"/>
    <w:rsid w:val="00C16450"/>
    <w:rsid w:val="00C17804"/>
    <w:rsid w:val="00C367F8"/>
    <w:rsid w:val="00C41CA9"/>
    <w:rsid w:val="00C45A56"/>
    <w:rsid w:val="00C552D7"/>
    <w:rsid w:val="00C569A4"/>
    <w:rsid w:val="00C60982"/>
    <w:rsid w:val="00C62B6B"/>
    <w:rsid w:val="00C64B77"/>
    <w:rsid w:val="00C672C4"/>
    <w:rsid w:val="00C80156"/>
    <w:rsid w:val="00C85656"/>
    <w:rsid w:val="00C8618A"/>
    <w:rsid w:val="00C91708"/>
    <w:rsid w:val="00CA11B2"/>
    <w:rsid w:val="00CB5008"/>
    <w:rsid w:val="00CC6072"/>
    <w:rsid w:val="00CD063A"/>
    <w:rsid w:val="00CF2216"/>
    <w:rsid w:val="00D041AB"/>
    <w:rsid w:val="00D0693E"/>
    <w:rsid w:val="00D108BB"/>
    <w:rsid w:val="00D10FC0"/>
    <w:rsid w:val="00D24CEF"/>
    <w:rsid w:val="00D366F6"/>
    <w:rsid w:val="00D42D01"/>
    <w:rsid w:val="00D42F03"/>
    <w:rsid w:val="00D47CD4"/>
    <w:rsid w:val="00D51E75"/>
    <w:rsid w:val="00D5484B"/>
    <w:rsid w:val="00D550BE"/>
    <w:rsid w:val="00D562A9"/>
    <w:rsid w:val="00D60BBB"/>
    <w:rsid w:val="00D65EC8"/>
    <w:rsid w:val="00D66E3C"/>
    <w:rsid w:val="00D674BE"/>
    <w:rsid w:val="00D67DE0"/>
    <w:rsid w:val="00D70B25"/>
    <w:rsid w:val="00D71178"/>
    <w:rsid w:val="00D74558"/>
    <w:rsid w:val="00D93BA5"/>
    <w:rsid w:val="00D94596"/>
    <w:rsid w:val="00DA114A"/>
    <w:rsid w:val="00DA469C"/>
    <w:rsid w:val="00DB264C"/>
    <w:rsid w:val="00DB29AB"/>
    <w:rsid w:val="00DB2EE2"/>
    <w:rsid w:val="00DD0A76"/>
    <w:rsid w:val="00DD0ACE"/>
    <w:rsid w:val="00DD0E3C"/>
    <w:rsid w:val="00DD40AB"/>
    <w:rsid w:val="00DE322D"/>
    <w:rsid w:val="00DE4185"/>
    <w:rsid w:val="00E01A97"/>
    <w:rsid w:val="00E032C9"/>
    <w:rsid w:val="00E042FC"/>
    <w:rsid w:val="00E075A1"/>
    <w:rsid w:val="00E2360D"/>
    <w:rsid w:val="00E34D04"/>
    <w:rsid w:val="00E4133A"/>
    <w:rsid w:val="00E414D6"/>
    <w:rsid w:val="00E471A1"/>
    <w:rsid w:val="00E5145A"/>
    <w:rsid w:val="00E556D5"/>
    <w:rsid w:val="00E568A2"/>
    <w:rsid w:val="00E62E21"/>
    <w:rsid w:val="00E757D3"/>
    <w:rsid w:val="00E758B8"/>
    <w:rsid w:val="00E7793D"/>
    <w:rsid w:val="00E8289D"/>
    <w:rsid w:val="00E97432"/>
    <w:rsid w:val="00EB29FE"/>
    <w:rsid w:val="00EB5088"/>
    <w:rsid w:val="00EC10F1"/>
    <w:rsid w:val="00ED7CD2"/>
    <w:rsid w:val="00EE5053"/>
    <w:rsid w:val="00EF07CF"/>
    <w:rsid w:val="00F001EA"/>
    <w:rsid w:val="00F03CF5"/>
    <w:rsid w:val="00F05AFE"/>
    <w:rsid w:val="00F111FD"/>
    <w:rsid w:val="00F13A06"/>
    <w:rsid w:val="00F14B3E"/>
    <w:rsid w:val="00F17AE8"/>
    <w:rsid w:val="00F34084"/>
    <w:rsid w:val="00F34BA8"/>
    <w:rsid w:val="00F43774"/>
    <w:rsid w:val="00F56E47"/>
    <w:rsid w:val="00F67A65"/>
    <w:rsid w:val="00F74172"/>
    <w:rsid w:val="00F765B2"/>
    <w:rsid w:val="00F854F1"/>
    <w:rsid w:val="00F85FBE"/>
    <w:rsid w:val="00FA2C25"/>
    <w:rsid w:val="00FA4F75"/>
    <w:rsid w:val="00FB5CE1"/>
    <w:rsid w:val="00FD037E"/>
    <w:rsid w:val="00FD15CA"/>
    <w:rsid w:val="00FD780E"/>
    <w:rsid w:val="00FE0F7F"/>
    <w:rsid w:val="00FE1D9B"/>
    <w:rsid w:val="00FE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3A919"/>
  <w14:defaultImageDpi w14:val="32767"/>
  <w15:chartTrackingRefBased/>
  <w15:docId w15:val="{3268B5FB-0EAD-4D80-AF06-3061AF0E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Default Text"/>
    <w:qFormat/>
    <w:rsid w:val="009854D8"/>
    <w:rPr>
      <w:rFonts w:ascii="Times New Roman" w:hAnsi="Times New Roman" w:cs="Times New Roman"/>
    </w:rPr>
  </w:style>
  <w:style w:type="paragraph" w:styleId="Heading1">
    <w:name w:val="heading 1"/>
    <w:basedOn w:val="Normal"/>
    <w:next w:val="Normal"/>
    <w:link w:val="Heading1Char"/>
    <w:uiPriority w:val="9"/>
    <w:rsid w:val="002B202A"/>
    <w:pPr>
      <w:outlineLvl w:val="0"/>
    </w:pPr>
    <w:rPr>
      <w:rFonts w:ascii="Arial" w:hAnsi="Arial" w:cs="Arial"/>
      <w:b/>
      <w:bCs/>
      <w:sz w:val="36"/>
      <w:szCs w:val="36"/>
    </w:rPr>
  </w:style>
  <w:style w:type="paragraph" w:styleId="Heading2">
    <w:name w:val="heading 2"/>
    <w:basedOn w:val="Heading1"/>
    <w:next w:val="Normal"/>
    <w:link w:val="Heading2Char"/>
    <w:uiPriority w:val="9"/>
    <w:unhideWhenUsed/>
    <w:rsid w:val="00F67A65"/>
    <w:pPr>
      <w:outlineLvl w:val="1"/>
    </w:pPr>
    <w:rPr>
      <w:b w:val="0"/>
      <w:sz w:val="28"/>
      <w:szCs w:val="28"/>
    </w:rPr>
  </w:style>
  <w:style w:type="paragraph" w:styleId="Heading3">
    <w:name w:val="heading 3"/>
    <w:basedOn w:val="Normal"/>
    <w:next w:val="Normal"/>
    <w:link w:val="Heading3Char"/>
    <w:uiPriority w:val="9"/>
    <w:unhideWhenUsed/>
    <w:rsid w:val="00BB3111"/>
    <w:pPr>
      <w:outlineLvl w:val="2"/>
    </w:pPr>
    <w:rPr>
      <w:rFonts w:ascii="Arial" w:hAnsi="Arial" w:cs="Arial"/>
    </w:rPr>
  </w:style>
  <w:style w:type="paragraph" w:styleId="Heading4">
    <w:name w:val="heading 4"/>
    <w:basedOn w:val="Normal"/>
    <w:next w:val="Normal"/>
    <w:link w:val="Heading4Char"/>
    <w:uiPriority w:val="9"/>
    <w:semiHidden/>
    <w:unhideWhenUsed/>
    <w:rsid w:val="00562E0A"/>
    <w:pPr>
      <w:keepNext/>
      <w:keepLines/>
      <w:spacing w:before="40"/>
      <w:outlineLvl w:val="3"/>
    </w:pPr>
    <w:rPr>
      <w:rFonts w:asciiTheme="majorHAnsi" w:eastAsiaTheme="majorEastAsia" w:hAnsiTheme="majorHAnsi" w:cstheme="majorBidi"/>
      <w:i/>
      <w:iCs/>
      <w:color w:val="00663D"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Header">
    <w:name w:val="Black Header"/>
    <w:qFormat/>
    <w:rsid w:val="00B104F5"/>
    <w:rPr>
      <w:rFonts w:ascii="Arial" w:hAnsi="Arial" w:cs="Arial"/>
      <w:b/>
      <w:bCs/>
      <w:color w:val="000000" w:themeColor="text1"/>
      <w:sz w:val="52"/>
      <w:szCs w:val="52"/>
    </w:rPr>
  </w:style>
  <w:style w:type="paragraph" w:styleId="IntenseQuote">
    <w:name w:val="Intense Quote"/>
    <w:basedOn w:val="Normal"/>
    <w:next w:val="Normal"/>
    <w:link w:val="IntenseQuoteChar"/>
    <w:uiPriority w:val="30"/>
    <w:rsid w:val="00562E0A"/>
    <w:pPr>
      <w:pBdr>
        <w:top w:val="single" w:sz="4" w:space="10" w:color="008953" w:themeColor="accent1"/>
        <w:bottom w:val="single" w:sz="4" w:space="10" w:color="008953" w:themeColor="accent1"/>
      </w:pBdr>
      <w:spacing w:before="360" w:after="360"/>
      <w:ind w:left="864" w:right="864"/>
      <w:jc w:val="center"/>
    </w:pPr>
    <w:rPr>
      <w:i/>
      <w:iCs/>
      <w:color w:val="008953" w:themeColor="accent1"/>
    </w:rPr>
  </w:style>
  <w:style w:type="paragraph" w:styleId="Subtitle">
    <w:name w:val="Subtitle"/>
    <w:basedOn w:val="Normal"/>
    <w:next w:val="Normal"/>
    <w:link w:val="SubtitleChar"/>
    <w:uiPriority w:val="11"/>
    <w:rsid w:val="00562E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62E0A"/>
    <w:rPr>
      <w:rFonts w:eastAsiaTheme="minorEastAsia"/>
      <w:color w:val="5A5A5A" w:themeColor="text1" w:themeTint="A5"/>
      <w:spacing w:val="15"/>
      <w:sz w:val="22"/>
      <w:szCs w:val="22"/>
    </w:rPr>
  </w:style>
  <w:style w:type="paragraph" w:styleId="Title">
    <w:name w:val="Title"/>
    <w:basedOn w:val="Normal"/>
    <w:next w:val="Normal"/>
    <w:link w:val="TitleChar"/>
    <w:uiPriority w:val="10"/>
    <w:rsid w:val="00562E0A"/>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202A"/>
    <w:rPr>
      <w:rFonts w:ascii="Arial" w:hAnsi="Arial" w:cs="Arial"/>
      <w:b/>
      <w:bCs/>
      <w:sz w:val="36"/>
      <w:szCs w:val="36"/>
    </w:rPr>
  </w:style>
  <w:style w:type="character" w:customStyle="1" w:styleId="Heading2Char">
    <w:name w:val="Heading 2 Char"/>
    <w:basedOn w:val="DefaultParagraphFont"/>
    <w:link w:val="Heading2"/>
    <w:uiPriority w:val="9"/>
    <w:rsid w:val="00F67A65"/>
    <w:rPr>
      <w:rFonts w:ascii="Arial" w:hAnsi="Arial" w:cs="Arial"/>
      <w:bCs/>
      <w:sz w:val="28"/>
      <w:szCs w:val="28"/>
    </w:rPr>
  </w:style>
  <w:style w:type="character" w:styleId="PageNumber">
    <w:name w:val="page number"/>
    <w:basedOn w:val="DefaultParagraphFont"/>
    <w:uiPriority w:val="99"/>
    <w:semiHidden/>
    <w:unhideWhenUsed/>
    <w:rsid w:val="00F67A65"/>
  </w:style>
  <w:style w:type="character" w:customStyle="1" w:styleId="Heading3Char">
    <w:name w:val="Heading 3 Char"/>
    <w:basedOn w:val="DefaultParagraphFont"/>
    <w:link w:val="Heading3"/>
    <w:uiPriority w:val="9"/>
    <w:rsid w:val="00BB3111"/>
    <w:rPr>
      <w:rFonts w:ascii="Arial" w:hAnsi="Arial" w:cs="Arial"/>
    </w:rPr>
  </w:style>
  <w:style w:type="character" w:customStyle="1" w:styleId="TitleChar">
    <w:name w:val="Title Char"/>
    <w:basedOn w:val="DefaultParagraphFont"/>
    <w:link w:val="Title"/>
    <w:uiPriority w:val="10"/>
    <w:rsid w:val="00562E0A"/>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BB3111"/>
    <w:rPr>
      <w:i/>
      <w:iCs/>
    </w:rPr>
  </w:style>
  <w:style w:type="character" w:styleId="IntenseEmphasis">
    <w:name w:val="Intense Emphasis"/>
    <w:basedOn w:val="DefaultParagraphFont"/>
    <w:uiPriority w:val="21"/>
    <w:qFormat/>
    <w:rsid w:val="00BB3111"/>
    <w:rPr>
      <w:i/>
      <w:iCs/>
      <w:color w:val="008953" w:themeColor="accent1"/>
    </w:rPr>
  </w:style>
  <w:style w:type="character" w:styleId="Strong">
    <w:name w:val="Strong"/>
    <w:uiPriority w:val="22"/>
    <w:rsid w:val="00B22EC0"/>
  </w:style>
  <w:style w:type="paragraph" w:styleId="Quote">
    <w:name w:val="Quote"/>
    <w:basedOn w:val="Normal"/>
    <w:next w:val="Normal"/>
    <w:link w:val="QuoteChar"/>
    <w:uiPriority w:val="29"/>
    <w:rsid w:val="00BB31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3111"/>
    <w:rPr>
      <w:rFonts w:ascii="Times New Roman" w:hAnsi="Times New Roman" w:cs="Times New Roman"/>
      <w:i/>
      <w:iCs/>
      <w:color w:val="404040" w:themeColor="text1" w:themeTint="BF"/>
    </w:rPr>
  </w:style>
  <w:style w:type="character" w:customStyle="1" w:styleId="IntenseQuoteChar">
    <w:name w:val="Intense Quote Char"/>
    <w:basedOn w:val="DefaultParagraphFont"/>
    <w:link w:val="IntenseQuote"/>
    <w:uiPriority w:val="30"/>
    <w:rsid w:val="00562E0A"/>
    <w:rPr>
      <w:rFonts w:ascii="Times New Roman" w:hAnsi="Times New Roman" w:cs="Times New Roman"/>
      <w:i/>
      <w:iCs/>
      <w:color w:val="008953" w:themeColor="accent1"/>
    </w:rPr>
  </w:style>
  <w:style w:type="character" w:styleId="SubtleReference">
    <w:name w:val="Subtle Reference"/>
    <w:basedOn w:val="DefaultParagraphFont"/>
    <w:uiPriority w:val="31"/>
    <w:rsid w:val="00562E0A"/>
    <w:rPr>
      <w:smallCaps/>
      <w:color w:val="5A5A5A" w:themeColor="text1" w:themeTint="A5"/>
    </w:rPr>
  </w:style>
  <w:style w:type="paragraph" w:customStyle="1" w:styleId="CenterAlignedInformation">
    <w:name w:val="Center Aligned Information"/>
    <w:qFormat/>
    <w:rsid w:val="00C45A56"/>
    <w:pPr>
      <w:spacing w:before="240" w:after="240"/>
      <w:contextualSpacing/>
      <w:jc w:val="center"/>
    </w:pPr>
    <w:rPr>
      <w:rFonts w:ascii="Arial" w:hAnsi="Arial" w:cs="Arial"/>
      <w:b/>
      <w:iCs/>
      <w:color w:val="008953" w:themeColor="accent1"/>
      <w:sz w:val="28"/>
    </w:rPr>
  </w:style>
  <w:style w:type="paragraph" w:customStyle="1" w:styleId="NRECAHeading1">
    <w:name w:val="NRECA Heading 1"/>
    <w:qFormat/>
    <w:rsid w:val="00D562A9"/>
    <w:rPr>
      <w:rFonts w:ascii="Arial" w:hAnsi="Arial" w:cs="Arial"/>
      <w:b/>
      <w:bCs/>
      <w:sz w:val="36"/>
      <w:szCs w:val="36"/>
    </w:rPr>
  </w:style>
  <w:style w:type="character" w:styleId="BookTitle">
    <w:name w:val="Book Title"/>
    <w:basedOn w:val="DefaultParagraphFont"/>
    <w:uiPriority w:val="33"/>
    <w:rsid w:val="00BB3111"/>
    <w:rPr>
      <w:b/>
      <w:bCs/>
      <w:i/>
      <w:iCs/>
      <w:spacing w:val="5"/>
    </w:rPr>
  </w:style>
  <w:style w:type="paragraph" w:customStyle="1" w:styleId="NRECAHeadingDate">
    <w:name w:val="NRECA Heading Date"/>
    <w:basedOn w:val="Normal"/>
    <w:qFormat/>
    <w:rsid w:val="00B104F5"/>
    <w:rPr>
      <w:rFonts w:ascii="Arial" w:hAnsi="Arial" w:cs="Arial"/>
      <w:color w:val="000000" w:themeColor="text1"/>
      <w:sz w:val="28"/>
      <w:szCs w:val="28"/>
    </w:rPr>
  </w:style>
  <w:style w:type="paragraph" w:customStyle="1" w:styleId="NRECAHeading2">
    <w:name w:val="NRECA Heading 2"/>
    <w:qFormat/>
    <w:rsid w:val="00D562A9"/>
    <w:rPr>
      <w:rFonts w:ascii="Arial" w:hAnsi="Arial" w:cs="Arial"/>
      <w:b/>
      <w:sz w:val="32"/>
      <w:szCs w:val="32"/>
    </w:rPr>
  </w:style>
  <w:style w:type="paragraph" w:customStyle="1" w:styleId="NRECAHeading3">
    <w:name w:val="NRECA Heading 3"/>
    <w:qFormat/>
    <w:rsid w:val="005618AA"/>
    <w:rPr>
      <w:rFonts w:ascii="Arial" w:hAnsi="Arial" w:cs="Arial"/>
      <w:sz w:val="28"/>
      <w:szCs w:val="28"/>
    </w:rPr>
  </w:style>
  <w:style w:type="paragraph" w:customStyle="1" w:styleId="SectionTitles">
    <w:name w:val="Section Titles"/>
    <w:next w:val="Normal"/>
    <w:qFormat/>
    <w:rsid w:val="00584743"/>
    <w:pPr>
      <w:pBdr>
        <w:bottom w:val="single" w:sz="8" w:space="1" w:color="auto"/>
      </w:pBdr>
      <w:spacing w:after="240"/>
      <w:contextualSpacing/>
    </w:pPr>
    <w:rPr>
      <w:rFonts w:ascii="Arial" w:hAnsi="Arial" w:cs="Arial"/>
      <w:b/>
      <w:bCs/>
      <w:color w:val="000000" w:themeColor="text1"/>
      <w:sz w:val="40"/>
      <w:szCs w:val="40"/>
    </w:rPr>
  </w:style>
  <w:style w:type="character" w:customStyle="1" w:styleId="Heading4Char">
    <w:name w:val="Heading 4 Char"/>
    <w:basedOn w:val="DefaultParagraphFont"/>
    <w:link w:val="Heading4"/>
    <w:uiPriority w:val="9"/>
    <w:semiHidden/>
    <w:rsid w:val="00562E0A"/>
    <w:rPr>
      <w:rFonts w:asciiTheme="majorHAnsi" w:eastAsiaTheme="majorEastAsia" w:hAnsiTheme="majorHAnsi" w:cstheme="majorBidi"/>
      <w:i/>
      <w:iCs/>
      <w:color w:val="00663D" w:themeColor="accent1" w:themeShade="BF"/>
    </w:rPr>
  </w:style>
  <w:style w:type="paragraph" w:customStyle="1" w:styleId="FooterInfo">
    <w:name w:val="Footer Info"/>
    <w:qFormat/>
    <w:rsid w:val="00562E0A"/>
    <w:pPr>
      <w:jc w:val="right"/>
    </w:pPr>
    <w:rPr>
      <w:rFonts w:ascii="Arial" w:hAnsi="Arial" w:cs="Arial"/>
      <w:bCs/>
      <w:sz w:val="20"/>
      <w:szCs w:val="28"/>
    </w:rPr>
  </w:style>
  <w:style w:type="paragraph" w:styleId="Footer">
    <w:name w:val="footer"/>
    <w:basedOn w:val="Normal"/>
    <w:link w:val="FooterChar"/>
    <w:uiPriority w:val="99"/>
    <w:unhideWhenUsed/>
    <w:rsid w:val="00C91708"/>
    <w:pPr>
      <w:tabs>
        <w:tab w:val="center" w:pos="4680"/>
        <w:tab w:val="right" w:pos="9360"/>
      </w:tabs>
    </w:pPr>
  </w:style>
  <w:style w:type="character" w:customStyle="1" w:styleId="FooterChar">
    <w:name w:val="Footer Char"/>
    <w:basedOn w:val="DefaultParagraphFont"/>
    <w:link w:val="Footer"/>
    <w:uiPriority w:val="99"/>
    <w:rsid w:val="00C91708"/>
    <w:rPr>
      <w:rFonts w:ascii="Times New Roman" w:hAnsi="Times New Roman" w:cs="Times New Roman"/>
    </w:rPr>
  </w:style>
  <w:style w:type="paragraph" w:styleId="ListParagraph">
    <w:name w:val="List Paragraph"/>
    <w:basedOn w:val="Normal"/>
    <w:uiPriority w:val="34"/>
    <w:qFormat/>
    <w:rsid w:val="00DA469C"/>
    <w:pPr>
      <w:ind w:left="720"/>
      <w:contextualSpacing/>
    </w:pPr>
  </w:style>
  <w:style w:type="paragraph" w:customStyle="1" w:styleId="BulletedDefaultList">
    <w:name w:val="Bulleted Default List"/>
    <w:basedOn w:val="ListParagraph"/>
    <w:qFormat/>
    <w:rsid w:val="00DA469C"/>
    <w:pPr>
      <w:numPr>
        <w:numId w:val="3"/>
      </w:numPr>
    </w:pPr>
  </w:style>
  <w:style w:type="paragraph" w:styleId="Header">
    <w:name w:val="header"/>
    <w:basedOn w:val="Normal"/>
    <w:link w:val="HeaderChar"/>
    <w:uiPriority w:val="99"/>
    <w:unhideWhenUsed/>
    <w:rsid w:val="00E414D6"/>
    <w:pPr>
      <w:tabs>
        <w:tab w:val="center" w:pos="4680"/>
        <w:tab w:val="right" w:pos="9360"/>
      </w:tabs>
    </w:pPr>
  </w:style>
  <w:style w:type="character" w:customStyle="1" w:styleId="HeaderChar">
    <w:name w:val="Header Char"/>
    <w:basedOn w:val="DefaultParagraphFont"/>
    <w:link w:val="Header"/>
    <w:uiPriority w:val="99"/>
    <w:rsid w:val="00E414D6"/>
    <w:rPr>
      <w:rFonts w:ascii="Times New Roman" w:hAnsi="Times New Roman" w:cs="Times New Roman"/>
    </w:rPr>
  </w:style>
  <w:style w:type="paragraph" w:styleId="BalloonText">
    <w:name w:val="Balloon Text"/>
    <w:basedOn w:val="Normal"/>
    <w:link w:val="BalloonTextChar"/>
    <w:uiPriority w:val="99"/>
    <w:semiHidden/>
    <w:unhideWhenUsed/>
    <w:rsid w:val="007F1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C90"/>
    <w:rPr>
      <w:rFonts w:ascii="Segoe UI" w:hAnsi="Segoe UI" w:cs="Segoe UI"/>
      <w:sz w:val="18"/>
      <w:szCs w:val="18"/>
    </w:rPr>
  </w:style>
  <w:style w:type="character" w:styleId="Hyperlink">
    <w:name w:val="Hyperlink"/>
    <w:basedOn w:val="DefaultParagraphFont"/>
    <w:uiPriority w:val="99"/>
    <w:unhideWhenUsed/>
    <w:rsid w:val="007F1C90"/>
    <w:rPr>
      <w:color w:val="8A9E97" w:themeColor="hyperlink"/>
      <w:u w:val="single"/>
    </w:rPr>
  </w:style>
  <w:style w:type="paragraph" w:customStyle="1" w:styleId="Default">
    <w:name w:val="Default"/>
    <w:rsid w:val="007F1C90"/>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7F1C90"/>
    <w:rPr>
      <w:sz w:val="16"/>
      <w:szCs w:val="16"/>
    </w:rPr>
  </w:style>
  <w:style w:type="paragraph" w:styleId="CommentText">
    <w:name w:val="annotation text"/>
    <w:basedOn w:val="Normal"/>
    <w:link w:val="CommentTextChar"/>
    <w:uiPriority w:val="99"/>
    <w:semiHidden/>
    <w:unhideWhenUsed/>
    <w:rsid w:val="007F1C90"/>
    <w:rPr>
      <w:sz w:val="20"/>
      <w:szCs w:val="20"/>
    </w:rPr>
  </w:style>
  <w:style w:type="character" w:customStyle="1" w:styleId="CommentTextChar">
    <w:name w:val="Comment Text Char"/>
    <w:basedOn w:val="DefaultParagraphFont"/>
    <w:link w:val="CommentText"/>
    <w:uiPriority w:val="99"/>
    <w:semiHidden/>
    <w:rsid w:val="007F1C90"/>
    <w:rPr>
      <w:rFonts w:ascii="Times New Roman" w:hAnsi="Times New Roman" w:cs="Times New Roman"/>
      <w:sz w:val="20"/>
      <w:szCs w:val="20"/>
    </w:rPr>
  </w:style>
  <w:style w:type="paragraph" w:styleId="FootnoteText">
    <w:name w:val="footnote text"/>
    <w:basedOn w:val="Normal"/>
    <w:link w:val="FootnoteTextChar"/>
    <w:uiPriority w:val="99"/>
    <w:unhideWhenUsed/>
    <w:rsid w:val="007F1C90"/>
    <w:rPr>
      <w:sz w:val="20"/>
      <w:szCs w:val="20"/>
    </w:rPr>
  </w:style>
  <w:style w:type="character" w:customStyle="1" w:styleId="FootnoteTextChar">
    <w:name w:val="Footnote Text Char"/>
    <w:basedOn w:val="DefaultParagraphFont"/>
    <w:link w:val="FootnoteText"/>
    <w:uiPriority w:val="99"/>
    <w:rsid w:val="007F1C9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F1C90"/>
    <w:rPr>
      <w:vertAlign w:val="superscript"/>
    </w:rPr>
  </w:style>
  <w:style w:type="character" w:styleId="UnresolvedMention">
    <w:name w:val="Unresolved Mention"/>
    <w:basedOn w:val="DefaultParagraphFont"/>
    <w:uiPriority w:val="99"/>
    <w:rsid w:val="002B213E"/>
    <w:rPr>
      <w:color w:val="605E5C"/>
      <w:shd w:val="clear" w:color="auto" w:fill="E1DFDD"/>
    </w:rPr>
  </w:style>
  <w:style w:type="paragraph" w:styleId="NoSpacing">
    <w:name w:val="No Spacing"/>
    <w:uiPriority w:val="1"/>
    <w:qFormat/>
    <w:rsid w:val="000651F3"/>
    <w:rPr>
      <w:sz w:val="22"/>
      <w:szCs w:val="22"/>
    </w:rPr>
  </w:style>
  <w:style w:type="paragraph" w:styleId="Revision">
    <w:name w:val="Revision"/>
    <w:hidden/>
    <w:uiPriority w:val="99"/>
    <w:semiHidden/>
    <w:rsid w:val="007D7D99"/>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F85FBE"/>
    <w:rPr>
      <w:b/>
      <w:bCs/>
    </w:rPr>
  </w:style>
  <w:style w:type="character" w:customStyle="1" w:styleId="CommentSubjectChar">
    <w:name w:val="Comment Subject Char"/>
    <w:basedOn w:val="CommentTextChar"/>
    <w:link w:val="CommentSubject"/>
    <w:uiPriority w:val="99"/>
    <w:semiHidden/>
    <w:rsid w:val="00F85FB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6361">
      <w:bodyDiv w:val="1"/>
      <w:marLeft w:val="0"/>
      <w:marRight w:val="0"/>
      <w:marTop w:val="0"/>
      <w:marBottom w:val="0"/>
      <w:divBdr>
        <w:top w:val="none" w:sz="0" w:space="0" w:color="auto"/>
        <w:left w:val="none" w:sz="0" w:space="0" w:color="auto"/>
        <w:bottom w:val="none" w:sz="0" w:space="0" w:color="auto"/>
        <w:right w:val="none" w:sz="0" w:space="0" w:color="auto"/>
      </w:divBdr>
    </w:div>
    <w:div w:id="321740609">
      <w:bodyDiv w:val="1"/>
      <w:marLeft w:val="0"/>
      <w:marRight w:val="0"/>
      <w:marTop w:val="0"/>
      <w:marBottom w:val="0"/>
      <w:divBdr>
        <w:top w:val="none" w:sz="0" w:space="0" w:color="auto"/>
        <w:left w:val="none" w:sz="0" w:space="0" w:color="auto"/>
        <w:bottom w:val="none" w:sz="0" w:space="0" w:color="auto"/>
        <w:right w:val="none" w:sz="0" w:space="0" w:color="auto"/>
      </w:divBdr>
    </w:div>
    <w:div w:id="540364502">
      <w:bodyDiv w:val="1"/>
      <w:marLeft w:val="0"/>
      <w:marRight w:val="0"/>
      <w:marTop w:val="0"/>
      <w:marBottom w:val="0"/>
      <w:divBdr>
        <w:top w:val="none" w:sz="0" w:space="0" w:color="auto"/>
        <w:left w:val="none" w:sz="0" w:space="0" w:color="auto"/>
        <w:bottom w:val="none" w:sz="0" w:space="0" w:color="auto"/>
        <w:right w:val="none" w:sz="0" w:space="0" w:color="auto"/>
      </w:divBdr>
    </w:div>
    <w:div w:id="972755521">
      <w:bodyDiv w:val="1"/>
      <w:marLeft w:val="0"/>
      <w:marRight w:val="0"/>
      <w:marTop w:val="0"/>
      <w:marBottom w:val="0"/>
      <w:divBdr>
        <w:top w:val="none" w:sz="0" w:space="0" w:color="auto"/>
        <w:left w:val="none" w:sz="0" w:space="0" w:color="auto"/>
        <w:bottom w:val="none" w:sz="0" w:space="0" w:color="auto"/>
        <w:right w:val="none" w:sz="0" w:space="0" w:color="auto"/>
      </w:divBdr>
    </w:div>
    <w:div w:id="992294873">
      <w:bodyDiv w:val="1"/>
      <w:marLeft w:val="0"/>
      <w:marRight w:val="0"/>
      <w:marTop w:val="0"/>
      <w:marBottom w:val="0"/>
      <w:divBdr>
        <w:top w:val="none" w:sz="0" w:space="0" w:color="auto"/>
        <w:left w:val="none" w:sz="0" w:space="0" w:color="auto"/>
        <w:bottom w:val="none" w:sz="0" w:space="0" w:color="auto"/>
        <w:right w:val="none" w:sz="0" w:space="0" w:color="auto"/>
      </w:divBdr>
    </w:div>
    <w:div w:id="1047946831">
      <w:bodyDiv w:val="1"/>
      <w:marLeft w:val="0"/>
      <w:marRight w:val="0"/>
      <w:marTop w:val="0"/>
      <w:marBottom w:val="0"/>
      <w:divBdr>
        <w:top w:val="none" w:sz="0" w:space="0" w:color="auto"/>
        <w:left w:val="none" w:sz="0" w:space="0" w:color="auto"/>
        <w:bottom w:val="none" w:sz="0" w:space="0" w:color="auto"/>
        <w:right w:val="none" w:sz="0" w:space="0" w:color="auto"/>
      </w:divBdr>
    </w:div>
    <w:div w:id="1119563831">
      <w:bodyDiv w:val="1"/>
      <w:marLeft w:val="0"/>
      <w:marRight w:val="0"/>
      <w:marTop w:val="0"/>
      <w:marBottom w:val="0"/>
      <w:divBdr>
        <w:top w:val="none" w:sz="0" w:space="0" w:color="auto"/>
        <w:left w:val="none" w:sz="0" w:space="0" w:color="auto"/>
        <w:bottom w:val="none" w:sz="0" w:space="0" w:color="auto"/>
        <w:right w:val="none" w:sz="0" w:space="0" w:color="auto"/>
      </w:divBdr>
    </w:div>
    <w:div w:id="1135492931">
      <w:bodyDiv w:val="1"/>
      <w:marLeft w:val="0"/>
      <w:marRight w:val="0"/>
      <w:marTop w:val="0"/>
      <w:marBottom w:val="0"/>
      <w:divBdr>
        <w:top w:val="none" w:sz="0" w:space="0" w:color="auto"/>
        <w:left w:val="none" w:sz="0" w:space="0" w:color="auto"/>
        <w:bottom w:val="none" w:sz="0" w:space="0" w:color="auto"/>
        <w:right w:val="none" w:sz="0" w:space="0" w:color="auto"/>
      </w:divBdr>
    </w:div>
    <w:div w:id="1246526236">
      <w:bodyDiv w:val="1"/>
      <w:marLeft w:val="0"/>
      <w:marRight w:val="0"/>
      <w:marTop w:val="0"/>
      <w:marBottom w:val="0"/>
      <w:divBdr>
        <w:top w:val="none" w:sz="0" w:space="0" w:color="auto"/>
        <w:left w:val="none" w:sz="0" w:space="0" w:color="auto"/>
        <w:bottom w:val="none" w:sz="0" w:space="0" w:color="auto"/>
        <w:right w:val="none" w:sz="0" w:space="0" w:color="auto"/>
      </w:divBdr>
    </w:div>
    <w:div w:id="12562839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ephanie.crawford@nreca.coo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regulation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is.doc.gov/index.php/documents/section-232-investigations/2790-redacted-goes-report-20210723-ab-redacted/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RECA">
      <a:dk1>
        <a:srgbClr val="000000"/>
      </a:dk1>
      <a:lt1>
        <a:srgbClr val="FFFFFF"/>
      </a:lt1>
      <a:dk2>
        <a:srgbClr val="008953"/>
      </a:dk2>
      <a:lt2>
        <a:srgbClr val="E7E6E6"/>
      </a:lt2>
      <a:accent1>
        <a:srgbClr val="008953"/>
      </a:accent1>
      <a:accent2>
        <a:srgbClr val="34BBC3"/>
      </a:accent2>
      <a:accent3>
        <a:srgbClr val="FBAE1A"/>
      </a:accent3>
      <a:accent4>
        <a:srgbClr val="A5CD38"/>
      </a:accent4>
      <a:accent5>
        <a:srgbClr val="F04B43"/>
      </a:accent5>
      <a:accent6>
        <a:srgbClr val="653065"/>
      </a:accent6>
      <a:hlink>
        <a:srgbClr val="8A9E97"/>
      </a:hlink>
      <a:folHlink>
        <a:srgbClr val="44444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C0919995AA44DBAEFC62C67E1B676" ma:contentTypeVersion="2" ma:contentTypeDescription="Create a new document." ma:contentTypeScope="" ma:versionID="28f6e2263423e53fc2c647369b3ecffa">
  <xsd:schema xmlns:xsd="http://www.w3.org/2001/XMLSchema" xmlns:xs="http://www.w3.org/2001/XMLSchema" xmlns:p="http://schemas.microsoft.com/office/2006/metadata/properties" xmlns:ns1="http://schemas.microsoft.com/sharepoint/v3" xmlns:ns2="16488a43-0f09-4792-aca7-56d04a9df9f9" targetNamespace="http://schemas.microsoft.com/office/2006/metadata/properties" ma:root="true" ma:fieldsID="3bd1fd7e50ce429199c290350485628f" ns1:_="" ns2:_="">
    <xsd:import namespace="http://schemas.microsoft.com/sharepoint/v3"/>
    <xsd:import namespace="16488a43-0f09-4792-aca7-56d04a9df9f9"/>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88a43-0f09-4792-aca7-56d04a9df9f9"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Brand Guidelines"/>
          <xsd:enumeration value="Budget Resources"/>
          <xsd:enumeration value="Directories"/>
          <xsd:enumeration value="Emergency Planning"/>
          <xsd:enumeration value="Employee Discounts"/>
          <xsd:enumeration value="Forms"/>
          <xsd:enumeration value="Oracle Resources"/>
          <xsd:enumeration value="Payroll Payment Cycle"/>
          <xsd:enumeration value="Policies"/>
          <xsd:enumeration value="Technology Help &amp; Support"/>
          <xsd:enumeration value="Temporary Staffing"/>
          <xsd:enumeration value="Travel"/>
          <xsd:enumeration value="Vendors and Purchas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Category xmlns="16488a43-0f09-4792-aca7-56d04a9df9f9"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7BA493-3DB2-42A5-8431-00A378A61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488a43-0f09-4792-aca7-56d04a9df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C2AF4-245F-43E7-8005-882156610F02}">
  <ds:schemaRefs>
    <ds:schemaRef ds:uri="http://schemas.microsoft.com/sharepoint/v3/contenttype/forms"/>
  </ds:schemaRefs>
</ds:datastoreItem>
</file>

<file path=customXml/itemProps3.xml><?xml version="1.0" encoding="utf-8"?>
<ds:datastoreItem xmlns:ds="http://schemas.openxmlformats.org/officeDocument/2006/customXml" ds:itemID="{C2A8078E-53BF-4CE1-ABCF-21244A3333F2}">
  <ds:schemaRefs>
    <ds:schemaRef ds:uri="http://schemas.openxmlformats.org/officeDocument/2006/bibliography"/>
  </ds:schemaRefs>
</ds:datastoreItem>
</file>

<file path=customXml/itemProps4.xml><?xml version="1.0" encoding="utf-8"?>
<ds:datastoreItem xmlns:ds="http://schemas.openxmlformats.org/officeDocument/2006/customXml" ds:itemID="{59E4F809-BEAE-4303-A9AC-BF8AC1A79CBC}">
  <ds:schemaRefs>
    <ds:schemaRef ds:uri="http://schemas.microsoft.com/office/2006/metadata/properties"/>
    <ds:schemaRef ds:uri="http://schemas.microsoft.com/office/infopath/2007/PartnerControls"/>
    <ds:schemaRef ds:uri="16488a43-0f09-4792-aca7-56d04a9df9f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8</Pages>
  <Words>3752</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Letterhead No Date</vt:lpstr>
    </vt:vector>
  </TitlesOfParts>
  <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No Date</dc:title>
  <dc:subject/>
  <dc:creator>Hanson, Lisa</dc:creator>
  <cp:keywords/>
  <dc:description/>
  <cp:lastModifiedBy>Crawford, Stephanie</cp:lastModifiedBy>
  <cp:revision>20</cp:revision>
  <cp:lastPrinted>2017-06-06T14:57:00Z</cp:lastPrinted>
  <dcterms:created xsi:type="dcterms:W3CDTF">2023-03-17T10:10:00Z</dcterms:created>
  <dcterms:modified xsi:type="dcterms:W3CDTF">2023-03-20T15:18:00Z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0x010100FA7C0919995AA44DBAEFC62C67E1B676</vt:lpwstr>
  </property>
</Properties>
</file>