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FE03" w14:textId="3FD4DBCC" w:rsidR="00D80884" w:rsidRDefault="00D80884" w:rsidP="00D80884">
      <w:pPr>
        <w:pStyle w:val="NoSpacing"/>
        <w:jc w:val="center"/>
        <w:rPr>
          <w:rFonts w:ascii="Times New Roman" w:hAnsi="Times New Roman" w:cs="Times New Roman"/>
          <w:sz w:val="24"/>
          <w:szCs w:val="24"/>
        </w:rPr>
      </w:pPr>
      <w:r>
        <w:rPr>
          <w:rFonts w:ascii="Times New Roman" w:hAnsi="Times New Roman" w:cs="Times New Roman"/>
          <w:sz w:val="24"/>
          <w:szCs w:val="24"/>
        </w:rPr>
        <w:t>[insert logos here]</w:t>
      </w:r>
    </w:p>
    <w:p w14:paraId="0D9ADD58" w14:textId="77777777" w:rsidR="00D80884" w:rsidRDefault="00D80884" w:rsidP="00BF375B">
      <w:pPr>
        <w:pStyle w:val="NoSpacing"/>
        <w:rPr>
          <w:rFonts w:ascii="Times New Roman" w:hAnsi="Times New Roman" w:cs="Times New Roman"/>
          <w:sz w:val="24"/>
          <w:szCs w:val="24"/>
        </w:rPr>
      </w:pPr>
    </w:p>
    <w:p w14:paraId="543F322F" w14:textId="41D5F028" w:rsidR="00D80884" w:rsidRDefault="00350177" w:rsidP="00BF375B">
      <w:pPr>
        <w:pStyle w:val="NoSpacing"/>
        <w:rPr>
          <w:rFonts w:ascii="Times New Roman" w:hAnsi="Times New Roman" w:cs="Times New Roman"/>
          <w:sz w:val="24"/>
          <w:szCs w:val="24"/>
        </w:rPr>
      </w:pPr>
      <w:r>
        <w:rPr>
          <w:rFonts w:ascii="Times New Roman" w:hAnsi="Times New Roman" w:cs="Times New Roman"/>
          <w:sz w:val="24"/>
          <w:szCs w:val="24"/>
        </w:rPr>
        <w:t>February 10</w:t>
      </w:r>
      <w:r w:rsidR="00D80884">
        <w:rPr>
          <w:rFonts w:ascii="Times New Roman" w:hAnsi="Times New Roman" w:cs="Times New Roman"/>
          <w:sz w:val="24"/>
          <w:szCs w:val="24"/>
        </w:rPr>
        <w:t>, 2023</w:t>
      </w:r>
    </w:p>
    <w:p w14:paraId="032B5D44" w14:textId="6400F507" w:rsidR="00D80884" w:rsidRDefault="00D80884" w:rsidP="00BF375B">
      <w:pPr>
        <w:pStyle w:val="NoSpacing"/>
        <w:rPr>
          <w:rFonts w:ascii="Times New Roman" w:hAnsi="Times New Roman" w:cs="Times New Roman"/>
          <w:sz w:val="24"/>
          <w:szCs w:val="24"/>
        </w:rPr>
      </w:pPr>
    </w:p>
    <w:p w14:paraId="13C4F82B" w14:textId="42638FDD" w:rsidR="00D80884" w:rsidRPr="00350177" w:rsidRDefault="00D80884" w:rsidP="00BF375B">
      <w:pPr>
        <w:pStyle w:val="NoSpacing"/>
        <w:rPr>
          <w:rFonts w:ascii="Times New Roman" w:hAnsi="Times New Roman" w:cs="Times New Roman"/>
          <w:i/>
          <w:iCs/>
          <w:sz w:val="24"/>
          <w:szCs w:val="24"/>
        </w:rPr>
      </w:pPr>
      <w:r w:rsidRPr="00350177">
        <w:rPr>
          <w:rFonts w:ascii="Times New Roman" w:hAnsi="Times New Roman" w:cs="Times New Roman"/>
          <w:i/>
          <w:iCs/>
          <w:sz w:val="24"/>
          <w:szCs w:val="24"/>
        </w:rPr>
        <w:t xml:space="preserve">Submitted via </w:t>
      </w:r>
      <w:hyperlink r:id="rId8" w:history="1">
        <w:r w:rsidR="00350177" w:rsidRPr="00B86ADF">
          <w:rPr>
            <w:rStyle w:val="Hyperlink"/>
            <w:rFonts w:ascii="Times New Roman" w:hAnsi="Times New Roman" w:cs="Times New Roman"/>
            <w:sz w:val="24"/>
            <w:szCs w:val="24"/>
          </w:rPr>
          <w:t>energy.standards@usdoj.gov</w:t>
        </w:r>
      </w:hyperlink>
      <w:r w:rsidR="00350177">
        <w:rPr>
          <w:rFonts w:ascii="Times New Roman" w:hAnsi="Times New Roman" w:cs="Times New Roman"/>
          <w:sz w:val="24"/>
          <w:szCs w:val="24"/>
        </w:rPr>
        <w:t xml:space="preserve"> </w:t>
      </w:r>
    </w:p>
    <w:p w14:paraId="74E8EFE6" w14:textId="274840F1" w:rsidR="00D80884" w:rsidRPr="00350177" w:rsidRDefault="00D80884" w:rsidP="00BF375B">
      <w:pPr>
        <w:pStyle w:val="NoSpacing"/>
        <w:rPr>
          <w:rFonts w:ascii="Times New Roman" w:hAnsi="Times New Roman" w:cs="Times New Roman"/>
          <w:sz w:val="24"/>
          <w:szCs w:val="24"/>
        </w:rPr>
      </w:pPr>
    </w:p>
    <w:p w14:paraId="19F03718" w14:textId="46BE8705" w:rsidR="00D80884" w:rsidRPr="00D80884" w:rsidRDefault="00D80884" w:rsidP="00D80884">
      <w:pPr>
        <w:pStyle w:val="NoSpacing"/>
        <w:ind w:left="720" w:hanging="720"/>
        <w:rPr>
          <w:rFonts w:ascii="Times New Roman" w:hAnsi="Times New Roman" w:cs="Times New Roman"/>
          <w:b/>
          <w:bCs/>
          <w:sz w:val="24"/>
          <w:szCs w:val="24"/>
        </w:rPr>
      </w:pPr>
      <w:r w:rsidRPr="00D80884">
        <w:rPr>
          <w:rFonts w:ascii="Times New Roman" w:hAnsi="Times New Roman" w:cs="Times New Roman"/>
          <w:b/>
          <w:bCs/>
          <w:sz w:val="24"/>
          <w:szCs w:val="24"/>
        </w:rPr>
        <w:t xml:space="preserve">RE: </w:t>
      </w:r>
      <w:r w:rsidRPr="00D80884">
        <w:rPr>
          <w:rFonts w:ascii="Times New Roman" w:hAnsi="Times New Roman" w:cs="Times New Roman"/>
          <w:b/>
          <w:bCs/>
          <w:sz w:val="24"/>
          <w:szCs w:val="24"/>
        </w:rPr>
        <w:tab/>
        <w:t>Energy Conservation Program: Energy Conservation Standards for Distribution Transformers [EERE-2019-BT-STD-0018]</w:t>
      </w:r>
    </w:p>
    <w:p w14:paraId="43FC3A54" w14:textId="77777777" w:rsidR="00D80884" w:rsidRDefault="00D80884" w:rsidP="00BF375B">
      <w:pPr>
        <w:pStyle w:val="NoSpacing"/>
        <w:rPr>
          <w:rFonts w:ascii="Times New Roman" w:hAnsi="Times New Roman" w:cs="Times New Roman"/>
          <w:sz w:val="24"/>
          <w:szCs w:val="24"/>
        </w:rPr>
      </w:pPr>
    </w:p>
    <w:p w14:paraId="3D2DC129" w14:textId="76E2151C" w:rsidR="00D80884" w:rsidRDefault="00D80884" w:rsidP="00BF375B">
      <w:pPr>
        <w:pStyle w:val="NoSpacing"/>
        <w:rPr>
          <w:rFonts w:ascii="Times New Roman" w:hAnsi="Times New Roman" w:cs="Times New Roman"/>
          <w:sz w:val="24"/>
          <w:szCs w:val="24"/>
        </w:rPr>
      </w:pPr>
    </w:p>
    <w:p w14:paraId="5A50CC7B" w14:textId="3037783E" w:rsidR="00D80884" w:rsidRDefault="00D80884" w:rsidP="00BF375B">
      <w:pPr>
        <w:pStyle w:val="NoSpacing"/>
        <w:rPr>
          <w:rFonts w:ascii="Times New Roman" w:hAnsi="Times New Roman" w:cs="Times New Roman"/>
          <w:sz w:val="24"/>
          <w:szCs w:val="24"/>
        </w:rPr>
      </w:pPr>
      <w:r>
        <w:rPr>
          <w:rFonts w:ascii="Times New Roman" w:hAnsi="Times New Roman" w:cs="Times New Roman"/>
          <w:sz w:val="24"/>
          <w:szCs w:val="24"/>
        </w:rPr>
        <w:t xml:space="preserve">To Whom It May Concern: </w:t>
      </w:r>
    </w:p>
    <w:p w14:paraId="5B0CC20E" w14:textId="137D83A2" w:rsidR="00D80884" w:rsidRDefault="00D80884" w:rsidP="00BF375B">
      <w:pPr>
        <w:pStyle w:val="NoSpacing"/>
        <w:rPr>
          <w:rFonts w:ascii="Times New Roman" w:hAnsi="Times New Roman" w:cs="Times New Roman"/>
          <w:sz w:val="24"/>
          <w:szCs w:val="24"/>
        </w:rPr>
      </w:pPr>
    </w:p>
    <w:p w14:paraId="512F8A95" w14:textId="4610A3E0" w:rsidR="00D80884" w:rsidRDefault="00D80884" w:rsidP="00BF375B">
      <w:pPr>
        <w:pStyle w:val="NoSpacing"/>
        <w:rPr>
          <w:rFonts w:ascii="Times New Roman" w:hAnsi="Times New Roman" w:cs="Times New Roman"/>
          <w:sz w:val="24"/>
          <w:szCs w:val="24"/>
        </w:rPr>
      </w:pPr>
      <w:r>
        <w:rPr>
          <w:rFonts w:ascii="Times New Roman" w:hAnsi="Times New Roman" w:cs="Times New Roman"/>
          <w:sz w:val="24"/>
          <w:szCs w:val="24"/>
        </w:rPr>
        <w:t xml:space="preserve">XX, XX and </w:t>
      </w:r>
      <w:r w:rsidR="00880E2A">
        <w:rPr>
          <w:rFonts w:ascii="Times New Roman" w:hAnsi="Times New Roman" w:cs="Times New Roman"/>
          <w:sz w:val="24"/>
          <w:szCs w:val="24"/>
        </w:rPr>
        <w:t>the National Rural Electric Cooperative Association (NRECA)</w:t>
      </w:r>
      <w:r w:rsidRPr="00D80884">
        <w:rPr>
          <w:rFonts w:ascii="Times New Roman" w:hAnsi="Times New Roman" w:cs="Times New Roman"/>
          <w:sz w:val="24"/>
          <w:szCs w:val="24"/>
        </w:rPr>
        <w:t xml:space="preserve"> respectfully submit the following comments to the </w:t>
      </w:r>
      <w:r w:rsidR="00827428">
        <w:rPr>
          <w:rFonts w:ascii="Times New Roman" w:hAnsi="Times New Roman" w:cs="Times New Roman"/>
          <w:sz w:val="24"/>
          <w:szCs w:val="24"/>
        </w:rPr>
        <w:t>U.S. Department of Justice Antitrust Division concerning competition</w:t>
      </w:r>
      <w:r w:rsidR="003210E7">
        <w:rPr>
          <w:rFonts w:ascii="Times New Roman" w:hAnsi="Times New Roman" w:cs="Times New Roman"/>
          <w:sz w:val="24"/>
          <w:szCs w:val="24"/>
        </w:rPr>
        <w:t xml:space="preserve"> issues</w:t>
      </w:r>
      <w:r w:rsidR="00827428">
        <w:rPr>
          <w:rFonts w:ascii="Times New Roman" w:hAnsi="Times New Roman" w:cs="Times New Roman"/>
          <w:sz w:val="24"/>
          <w:szCs w:val="24"/>
        </w:rPr>
        <w:t xml:space="preserve"> raised by the U.S. Department of Energy’s </w:t>
      </w:r>
      <w:r>
        <w:rPr>
          <w:rFonts w:ascii="Times New Roman" w:hAnsi="Times New Roman" w:cs="Times New Roman"/>
          <w:sz w:val="24"/>
          <w:szCs w:val="24"/>
        </w:rPr>
        <w:t>notice of proposed rulemaking (NOPR)</w:t>
      </w:r>
      <w:r w:rsidRPr="00D80884">
        <w:rPr>
          <w:rFonts w:ascii="Times New Roman" w:hAnsi="Times New Roman" w:cs="Times New Roman"/>
          <w:sz w:val="24"/>
          <w:szCs w:val="24"/>
        </w:rPr>
        <w:t xml:space="preserve"> on Energy Conservation Standards for </w:t>
      </w:r>
      <w:r>
        <w:rPr>
          <w:rFonts w:ascii="Times New Roman" w:hAnsi="Times New Roman" w:cs="Times New Roman"/>
          <w:sz w:val="24"/>
          <w:szCs w:val="24"/>
        </w:rPr>
        <w:t>Distribution Transformers</w:t>
      </w:r>
      <w:r w:rsidRPr="00D80884">
        <w:rPr>
          <w:rFonts w:ascii="Times New Roman" w:hAnsi="Times New Roman" w:cs="Times New Roman"/>
          <w:sz w:val="24"/>
          <w:szCs w:val="24"/>
        </w:rPr>
        <w:t xml:space="preserve"> (EERE-201</w:t>
      </w:r>
      <w:r>
        <w:rPr>
          <w:rFonts w:ascii="Times New Roman" w:hAnsi="Times New Roman" w:cs="Times New Roman"/>
          <w:sz w:val="24"/>
          <w:szCs w:val="24"/>
        </w:rPr>
        <w:t>9</w:t>
      </w:r>
      <w:r w:rsidRPr="00D80884">
        <w:rPr>
          <w:rFonts w:ascii="Times New Roman" w:hAnsi="Times New Roman" w:cs="Times New Roman"/>
          <w:sz w:val="24"/>
          <w:szCs w:val="24"/>
        </w:rPr>
        <w:t>-BT-STD-001</w:t>
      </w:r>
      <w:r>
        <w:rPr>
          <w:rFonts w:ascii="Times New Roman" w:hAnsi="Times New Roman" w:cs="Times New Roman"/>
          <w:sz w:val="24"/>
          <w:szCs w:val="24"/>
        </w:rPr>
        <w:t>8</w:t>
      </w:r>
      <w:r w:rsidRPr="00D80884">
        <w:rPr>
          <w:rFonts w:ascii="Times New Roman" w:hAnsi="Times New Roman" w:cs="Times New Roman"/>
          <w:sz w:val="24"/>
          <w:szCs w:val="24"/>
        </w:rPr>
        <w:t>).</w:t>
      </w:r>
    </w:p>
    <w:p w14:paraId="5EAD352D" w14:textId="4B61A4B4" w:rsidR="00D80884" w:rsidRDefault="00D80884" w:rsidP="00BF375B">
      <w:pPr>
        <w:pStyle w:val="NoSpacing"/>
        <w:rPr>
          <w:rFonts w:ascii="Times New Roman" w:hAnsi="Times New Roman" w:cs="Times New Roman"/>
          <w:sz w:val="24"/>
          <w:szCs w:val="24"/>
        </w:rPr>
      </w:pPr>
    </w:p>
    <w:p w14:paraId="203B6995" w14:textId="366A5E0A" w:rsidR="00D80884" w:rsidRDefault="00D80884" w:rsidP="00BF375B">
      <w:pPr>
        <w:pStyle w:val="NoSpacing"/>
        <w:rPr>
          <w:rFonts w:ascii="Times New Roman" w:hAnsi="Times New Roman" w:cs="Times New Roman"/>
          <w:sz w:val="24"/>
          <w:szCs w:val="24"/>
        </w:rPr>
      </w:pPr>
      <w:r>
        <w:rPr>
          <w:rFonts w:ascii="Times New Roman" w:hAnsi="Times New Roman" w:cs="Times New Roman"/>
          <w:sz w:val="24"/>
          <w:szCs w:val="24"/>
        </w:rPr>
        <w:t>[insert trades boilerplate]</w:t>
      </w:r>
    </w:p>
    <w:p w14:paraId="2D487A04" w14:textId="2EC9C494" w:rsidR="00D80884" w:rsidRDefault="00D80884" w:rsidP="00BF375B">
      <w:pPr>
        <w:pStyle w:val="NoSpacing"/>
        <w:rPr>
          <w:rFonts w:ascii="Times New Roman" w:hAnsi="Times New Roman" w:cs="Times New Roman"/>
          <w:sz w:val="24"/>
          <w:szCs w:val="24"/>
        </w:rPr>
      </w:pPr>
    </w:p>
    <w:p w14:paraId="13AB2D29" w14:textId="77777777" w:rsidR="00E10A46" w:rsidRDefault="00E10A46" w:rsidP="00E10A46">
      <w:pPr>
        <w:pStyle w:val="NoSpacing"/>
        <w:rPr>
          <w:rFonts w:ascii="Times New Roman" w:hAnsi="Times New Roman" w:cs="Times New Roman"/>
          <w:sz w:val="24"/>
          <w:szCs w:val="24"/>
        </w:rPr>
      </w:pPr>
      <w:r>
        <w:rPr>
          <w:rFonts w:ascii="Times New Roman" w:hAnsi="Times New Roman" w:cs="Times New Roman"/>
          <w:sz w:val="24"/>
          <w:szCs w:val="24"/>
        </w:rPr>
        <w:t>[insert trades boilerplate]</w:t>
      </w:r>
    </w:p>
    <w:p w14:paraId="2579EEF5" w14:textId="77777777" w:rsidR="00E10A46" w:rsidRDefault="00E10A46" w:rsidP="00BF375B">
      <w:pPr>
        <w:pStyle w:val="NoSpacing"/>
        <w:rPr>
          <w:rFonts w:ascii="Times New Roman" w:hAnsi="Times New Roman" w:cs="Times New Roman"/>
          <w:sz w:val="24"/>
          <w:szCs w:val="24"/>
        </w:rPr>
      </w:pPr>
    </w:p>
    <w:p w14:paraId="128E865A" w14:textId="6CA3349D" w:rsidR="00E10A46" w:rsidRDefault="00E10A46" w:rsidP="00BF375B">
      <w:pPr>
        <w:pStyle w:val="NoSpacing"/>
        <w:rPr>
          <w:rFonts w:ascii="Times New Roman" w:hAnsi="Times New Roman" w:cs="Times New Roman"/>
          <w:sz w:val="24"/>
          <w:szCs w:val="24"/>
        </w:rPr>
      </w:pPr>
      <w:r w:rsidRPr="00E10A46">
        <w:rPr>
          <w:rFonts w:ascii="Times New Roman" w:hAnsi="Times New Roman" w:cs="Times New Roman"/>
          <w:sz w:val="24"/>
          <w:szCs w:val="24"/>
        </w:rPr>
        <w:t>NRECA is the national trade association representing nearly 900 local electric cooperatives and other rural electric utilities. America’s electric cooperatives are owned by the people that they serve and comprise a unique sector of the electric industry. From growing regions to remote farming communities, electric cooperatives power 1 in 8 Americans and serve as engines of economic development for 42 million Americans across 56 percent of the nation’s landscape.</w:t>
      </w:r>
    </w:p>
    <w:p w14:paraId="1EB3CB51" w14:textId="77777777" w:rsidR="00E10A46" w:rsidRDefault="00E10A46" w:rsidP="00BF375B">
      <w:pPr>
        <w:pStyle w:val="NoSpacing"/>
        <w:rPr>
          <w:rFonts w:ascii="Times New Roman" w:hAnsi="Times New Roman" w:cs="Times New Roman"/>
          <w:sz w:val="24"/>
          <w:szCs w:val="24"/>
        </w:rPr>
      </w:pPr>
    </w:p>
    <w:p w14:paraId="4701E088" w14:textId="2897B7B7" w:rsidR="00D80884" w:rsidRDefault="00661276" w:rsidP="00BF375B">
      <w:pPr>
        <w:pStyle w:val="NoSpacing"/>
        <w:rPr>
          <w:rFonts w:ascii="Times New Roman" w:hAnsi="Times New Roman" w:cs="Times New Roman"/>
          <w:sz w:val="24"/>
          <w:szCs w:val="24"/>
        </w:rPr>
      </w:pPr>
      <w:r>
        <w:rPr>
          <w:rFonts w:ascii="Times New Roman" w:hAnsi="Times New Roman" w:cs="Times New Roman"/>
          <w:sz w:val="24"/>
          <w:szCs w:val="24"/>
        </w:rPr>
        <w:t xml:space="preserve">Our members are some of the primary consumers of distribution transformers and if this proposal is implemented as currently contemplated, it would have serious consequences to their ability to provide affordable, reliable electric service to millions of Americans. </w:t>
      </w:r>
      <w:r w:rsidR="00D80884">
        <w:rPr>
          <w:rFonts w:ascii="Times New Roman" w:hAnsi="Times New Roman" w:cs="Times New Roman"/>
          <w:sz w:val="24"/>
          <w:szCs w:val="24"/>
        </w:rPr>
        <w:t xml:space="preserve">We urge </w:t>
      </w:r>
      <w:r w:rsidR="00827428">
        <w:rPr>
          <w:rFonts w:ascii="Times New Roman" w:hAnsi="Times New Roman" w:cs="Times New Roman"/>
          <w:sz w:val="24"/>
          <w:szCs w:val="24"/>
        </w:rPr>
        <w:t xml:space="preserve">DOJ to fully consider </w:t>
      </w:r>
      <w:r w:rsidR="00397E14">
        <w:rPr>
          <w:rFonts w:ascii="Times New Roman" w:hAnsi="Times New Roman" w:cs="Times New Roman"/>
          <w:sz w:val="24"/>
          <w:szCs w:val="24"/>
        </w:rPr>
        <w:t>the competition</w:t>
      </w:r>
      <w:r w:rsidR="00827428">
        <w:rPr>
          <w:rFonts w:ascii="Times New Roman" w:hAnsi="Times New Roman" w:cs="Times New Roman"/>
          <w:sz w:val="24"/>
          <w:szCs w:val="24"/>
        </w:rPr>
        <w:t xml:space="preserve"> issues</w:t>
      </w:r>
      <w:r w:rsidR="00397E14">
        <w:rPr>
          <w:rFonts w:ascii="Times New Roman" w:hAnsi="Times New Roman" w:cs="Times New Roman"/>
          <w:sz w:val="24"/>
          <w:szCs w:val="24"/>
        </w:rPr>
        <w:t xml:space="preserve"> raised by the DOE NOPR</w:t>
      </w:r>
      <w:r w:rsidR="00827428">
        <w:rPr>
          <w:rFonts w:ascii="Times New Roman" w:hAnsi="Times New Roman" w:cs="Times New Roman"/>
          <w:sz w:val="24"/>
          <w:szCs w:val="24"/>
        </w:rPr>
        <w:t xml:space="preserve"> and </w:t>
      </w:r>
      <w:r w:rsidR="003210E7">
        <w:rPr>
          <w:rFonts w:ascii="Times New Roman" w:hAnsi="Times New Roman" w:cs="Times New Roman"/>
          <w:sz w:val="24"/>
          <w:szCs w:val="24"/>
        </w:rPr>
        <w:t>work with</w:t>
      </w:r>
      <w:r w:rsidR="00827428">
        <w:rPr>
          <w:rFonts w:ascii="Times New Roman" w:hAnsi="Times New Roman" w:cs="Times New Roman"/>
          <w:sz w:val="24"/>
          <w:szCs w:val="24"/>
        </w:rPr>
        <w:t xml:space="preserve"> DOE </w:t>
      </w:r>
      <w:r w:rsidR="002A2582">
        <w:rPr>
          <w:rFonts w:ascii="Times New Roman" w:hAnsi="Times New Roman" w:cs="Times New Roman"/>
          <w:sz w:val="24"/>
          <w:szCs w:val="24"/>
        </w:rPr>
        <w:t xml:space="preserve">to </w:t>
      </w:r>
      <w:r w:rsidR="003210E7">
        <w:rPr>
          <w:rFonts w:ascii="Times New Roman" w:hAnsi="Times New Roman" w:cs="Times New Roman"/>
          <w:sz w:val="24"/>
          <w:szCs w:val="24"/>
        </w:rPr>
        <w:t>address these concerns</w:t>
      </w:r>
      <w:r>
        <w:rPr>
          <w:rFonts w:ascii="Times New Roman" w:hAnsi="Times New Roman" w:cs="Times New Roman"/>
          <w:sz w:val="24"/>
          <w:szCs w:val="24"/>
        </w:rPr>
        <w:t xml:space="preserve"> </w:t>
      </w:r>
      <w:r w:rsidR="00D80884">
        <w:rPr>
          <w:rFonts w:ascii="Times New Roman" w:hAnsi="Times New Roman" w:cs="Times New Roman"/>
          <w:sz w:val="24"/>
          <w:szCs w:val="24"/>
        </w:rPr>
        <w:t>before a final rule</w:t>
      </w:r>
      <w:r w:rsidR="002A2582">
        <w:rPr>
          <w:rFonts w:ascii="Times New Roman" w:hAnsi="Times New Roman" w:cs="Times New Roman"/>
          <w:sz w:val="24"/>
          <w:szCs w:val="24"/>
        </w:rPr>
        <w:t xml:space="preserve"> is issued by DOE</w:t>
      </w:r>
      <w:r w:rsidR="00D80884">
        <w:rPr>
          <w:rFonts w:ascii="Times New Roman" w:hAnsi="Times New Roman" w:cs="Times New Roman"/>
          <w:sz w:val="24"/>
          <w:szCs w:val="24"/>
        </w:rPr>
        <w:t xml:space="preserve">. </w:t>
      </w:r>
    </w:p>
    <w:p w14:paraId="4E052579" w14:textId="556D846C" w:rsidR="00397E14" w:rsidRDefault="00397E14" w:rsidP="00BF375B">
      <w:pPr>
        <w:pStyle w:val="NoSpacing"/>
        <w:rPr>
          <w:rFonts w:ascii="Times New Roman" w:hAnsi="Times New Roman" w:cs="Times New Roman"/>
          <w:sz w:val="24"/>
          <w:szCs w:val="24"/>
        </w:rPr>
      </w:pPr>
    </w:p>
    <w:p w14:paraId="30D3A66E" w14:textId="598F840B" w:rsidR="00397E14" w:rsidRDefault="00397E14" w:rsidP="00BF375B">
      <w:pPr>
        <w:pStyle w:val="NoSpacing"/>
        <w:rPr>
          <w:rFonts w:ascii="Times New Roman" w:hAnsi="Times New Roman" w:cs="Times New Roman"/>
          <w:sz w:val="24"/>
          <w:szCs w:val="24"/>
        </w:rPr>
      </w:pPr>
      <w:r>
        <w:rPr>
          <w:rFonts w:ascii="Times New Roman" w:hAnsi="Times New Roman" w:cs="Times New Roman"/>
          <w:sz w:val="24"/>
          <w:szCs w:val="24"/>
        </w:rPr>
        <w:t xml:space="preserve">As drafted, DOE’s NOPR would transition almost the entire distribution transformer market in the United States to use amorphous steel cores, as compared to the </w:t>
      </w:r>
      <w:r w:rsidR="002A2582">
        <w:rPr>
          <w:rFonts w:ascii="Times New Roman" w:hAnsi="Times New Roman" w:cs="Times New Roman"/>
          <w:sz w:val="24"/>
          <w:szCs w:val="24"/>
        </w:rPr>
        <w:t xml:space="preserve">current </w:t>
      </w:r>
      <w:r>
        <w:rPr>
          <w:rFonts w:ascii="Times New Roman" w:hAnsi="Times New Roman" w:cs="Times New Roman"/>
          <w:sz w:val="24"/>
          <w:szCs w:val="24"/>
        </w:rPr>
        <w:t>widespread use of grain oriented electrical steel (GOES) cores</w:t>
      </w:r>
      <w:r w:rsidR="002A2582">
        <w:rPr>
          <w:rFonts w:ascii="Times New Roman" w:hAnsi="Times New Roman" w:cs="Times New Roman"/>
          <w:sz w:val="24"/>
          <w:szCs w:val="24"/>
        </w:rPr>
        <w:t>.</w:t>
      </w:r>
      <w:r>
        <w:rPr>
          <w:rFonts w:ascii="Times New Roman" w:hAnsi="Times New Roman" w:cs="Times New Roman"/>
          <w:sz w:val="24"/>
          <w:szCs w:val="24"/>
        </w:rPr>
        <w:t xml:space="preserve"> We have numerous concerns about the proposal but within the DOJ Antitrust Division’s purview we specifically raise (1) the lack of domestic suppliers available to produce amorphous steel </w:t>
      </w:r>
      <w:r w:rsidR="003210E7">
        <w:rPr>
          <w:rFonts w:ascii="Times New Roman" w:hAnsi="Times New Roman" w:cs="Times New Roman"/>
          <w:sz w:val="24"/>
          <w:szCs w:val="24"/>
        </w:rPr>
        <w:t xml:space="preserve">cores </w:t>
      </w:r>
      <w:r>
        <w:rPr>
          <w:rFonts w:ascii="Times New Roman" w:hAnsi="Times New Roman" w:cs="Times New Roman"/>
          <w:sz w:val="24"/>
          <w:szCs w:val="24"/>
        </w:rPr>
        <w:t>and (2) the untenable timeline</w:t>
      </w:r>
      <w:r w:rsidR="003210E7">
        <w:rPr>
          <w:rFonts w:ascii="Times New Roman" w:hAnsi="Times New Roman" w:cs="Times New Roman"/>
          <w:sz w:val="24"/>
          <w:szCs w:val="24"/>
        </w:rPr>
        <w:t xml:space="preserve"> in the proposal</w:t>
      </w:r>
      <w:r>
        <w:rPr>
          <w:rFonts w:ascii="Times New Roman" w:hAnsi="Times New Roman" w:cs="Times New Roman"/>
          <w:sz w:val="24"/>
          <w:szCs w:val="24"/>
        </w:rPr>
        <w:t xml:space="preserve">.  </w:t>
      </w:r>
    </w:p>
    <w:p w14:paraId="3E5E217A" w14:textId="77777777" w:rsidR="00397E14" w:rsidRDefault="00397E14" w:rsidP="00BF375B">
      <w:pPr>
        <w:pStyle w:val="NoSpacing"/>
        <w:rPr>
          <w:rFonts w:ascii="Times New Roman" w:hAnsi="Times New Roman" w:cs="Times New Roman"/>
          <w:sz w:val="24"/>
          <w:szCs w:val="24"/>
        </w:rPr>
      </w:pPr>
    </w:p>
    <w:p w14:paraId="083E5F93" w14:textId="3C4D1B35" w:rsidR="00397E14" w:rsidRDefault="002A2582" w:rsidP="00BF375B">
      <w:pPr>
        <w:pStyle w:val="NoSpacing"/>
        <w:rPr>
          <w:rFonts w:ascii="Times New Roman" w:hAnsi="Times New Roman" w:cs="Times New Roman"/>
          <w:sz w:val="24"/>
          <w:szCs w:val="24"/>
        </w:rPr>
      </w:pPr>
      <w:r>
        <w:rPr>
          <w:rFonts w:ascii="Times New Roman" w:hAnsi="Times New Roman" w:cs="Times New Roman"/>
          <w:sz w:val="24"/>
          <w:szCs w:val="24"/>
        </w:rPr>
        <w:t>The fact that there is only one domestic supplier of GOES</w:t>
      </w:r>
      <w:r w:rsidR="00190F1C">
        <w:rPr>
          <w:rFonts w:ascii="Times New Roman" w:hAnsi="Times New Roman" w:cs="Times New Roman"/>
          <w:sz w:val="24"/>
          <w:szCs w:val="24"/>
        </w:rPr>
        <w:t xml:space="preserve"> </w:t>
      </w:r>
      <w:r>
        <w:rPr>
          <w:rFonts w:ascii="Times New Roman" w:hAnsi="Times New Roman" w:cs="Times New Roman"/>
          <w:sz w:val="24"/>
          <w:szCs w:val="24"/>
        </w:rPr>
        <w:t>puts t</w:t>
      </w:r>
      <w:r w:rsidR="00EC1FB8">
        <w:rPr>
          <w:rFonts w:ascii="Times New Roman" w:hAnsi="Times New Roman" w:cs="Times New Roman"/>
          <w:sz w:val="24"/>
          <w:szCs w:val="24"/>
        </w:rPr>
        <w:t xml:space="preserve">he domestic electrical steel market </w:t>
      </w:r>
      <w:r>
        <w:rPr>
          <w:rFonts w:ascii="Times New Roman" w:hAnsi="Times New Roman" w:cs="Times New Roman"/>
          <w:sz w:val="24"/>
          <w:szCs w:val="24"/>
        </w:rPr>
        <w:t xml:space="preserve">into a </w:t>
      </w:r>
      <w:r w:rsidR="00EC1FB8">
        <w:rPr>
          <w:rFonts w:ascii="Times New Roman" w:hAnsi="Times New Roman" w:cs="Times New Roman"/>
          <w:sz w:val="24"/>
          <w:szCs w:val="24"/>
        </w:rPr>
        <w:t>precarious state</w:t>
      </w:r>
      <w:r>
        <w:rPr>
          <w:rFonts w:ascii="Times New Roman" w:hAnsi="Times New Roman" w:cs="Times New Roman"/>
          <w:sz w:val="24"/>
          <w:szCs w:val="24"/>
        </w:rPr>
        <w:t>.</w:t>
      </w:r>
      <w:r w:rsidR="00EC1FB8">
        <w:rPr>
          <w:rFonts w:ascii="Times New Roman" w:hAnsi="Times New Roman" w:cs="Times New Roman"/>
          <w:sz w:val="24"/>
          <w:szCs w:val="24"/>
        </w:rPr>
        <w:t xml:space="preserve">  </w:t>
      </w:r>
      <w:r w:rsidR="00397E14">
        <w:rPr>
          <w:rFonts w:ascii="Times New Roman" w:hAnsi="Times New Roman" w:cs="Times New Roman"/>
          <w:sz w:val="24"/>
          <w:szCs w:val="24"/>
        </w:rPr>
        <w:t>Rather than helping to divers</w:t>
      </w:r>
      <w:r w:rsidR="00BB2FC2">
        <w:rPr>
          <w:rFonts w:ascii="Times New Roman" w:hAnsi="Times New Roman" w:cs="Times New Roman"/>
          <w:sz w:val="24"/>
          <w:szCs w:val="24"/>
        </w:rPr>
        <w:t>ify</w:t>
      </w:r>
      <w:r w:rsidR="00397E14">
        <w:rPr>
          <w:rFonts w:ascii="Times New Roman" w:hAnsi="Times New Roman" w:cs="Times New Roman"/>
          <w:sz w:val="24"/>
          <w:szCs w:val="24"/>
        </w:rPr>
        <w:t xml:space="preserve"> supply, the DOE NOPR is counterproductive </w:t>
      </w:r>
      <w:r w:rsidR="00190F1C">
        <w:rPr>
          <w:rFonts w:ascii="Times New Roman" w:hAnsi="Times New Roman" w:cs="Times New Roman"/>
          <w:sz w:val="24"/>
          <w:szCs w:val="24"/>
        </w:rPr>
        <w:t>as it</w:t>
      </w:r>
      <w:r>
        <w:rPr>
          <w:rFonts w:ascii="Times New Roman" w:hAnsi="Times New Roman" w:cs="Times New Roman"/>
          <w:sz w:val="24"/>
          <w:szCs w:val="24"/>
        </w:rPr>
        <w:t xml:space="preserve"> would deter </w:t>
      </w:r>
      <w:r w:rsidR="00397E14">
        <w:rPr>
          <w:rFonts w:ascii="Times New Roman" w:hAnsi="Times New Roman" w:cs="Times New Roman"/>
          <w:sz w:val="24"/>
          <w:szCs w:val="24"/>
        </w:rPr>
        <w:t xml:space="preserve">further domestic investment in GOES production because </w:t>
      </w:r>
      <w:r w:rsidR="003210E7">
        <w:rPr>
          <w:rFonts w:ascii="Times New Roman" w:hAnsi="Times New Roman" w:cs="Times New Roman"/>
          <w:sz w:val="24"/>
          <w:szCs w:val="24"/>
        </w:rPr>
        <w:t xml:space="preserve">essentially </w:t>
      </w:r>
      <w:r w:rsidR="00397E14">
        <w:rPr>
          <w:rFonts w:ascii="Times New Roman" w:hAnsi="Times New Roman" w:cs="Times New Roman"/>
          <w:sz w:val="24"/>
          <w:szCs w:val="24"/>
        </w:rPr>
        <w:t xml:space="preserve">only amorphous steel cores will be able to meet the new energy conservation standard proposed by DOE. </w:t>
      </w:r>
      <w:r w:rsidR="003210E7">
        <w:rPr>
          <w:rFonts w:ascii="Times New Roman" w:hAnsi="Times New Roman" w:cs="Times New Roman"/>
          <w:sz w:val="24"/>
          <w:szCs w:val="24"/>
        </w:rPr>
        <w:t>Ultimately,</w:t>
      </w:r>
      <w:r w:rsidR="00397E14">
        <w:rPr>
          <w:rFonts w:ascii="Times New Roman" w:hAnsi="Times New Roman" w:cs="Times New Roman"/>
          <w:sz w:val="24"/>
          <w:szCs w:val="24"/>
        </w:rPr>
        <w:t xml:space="preserve"> DOE’s NOPR will</w:t>
      </w:r>
      <w:r w:rsidR="003210E7">
        <w:rPr>
          <w:rFonts w:ascii="Times New Roman" w:hAnsi="Times New Roman" w:cs="Times New Roman"/>
          <w:sz w:val="24"/>
          <w:szCs w:val="24"/>
        </w:rPr>
        <w:t xml:space="preserve"> not foster competition and is instead</w:t>
      </w:r>
      <w:r w:rsidR="00397E14">
        <w:rPr>
          <w:rFonts w:ascii="Times New Roman" w:hAnsi="Times New Roman" w:cs="Times New Roman"/>
          <w:sz w:val="24"/>
          <w:szCs w:val="24"/>
        </w:rPr>
        <w:t xml:space="preserve"> likely </w:t>
      </w:r>
      <w:r w:rsidR="009A4981">
        <w:rPr>
          <w:rFonts w:ascii="Times New Roman" w:hAnsi="Times New Roman" w:cs="Times New Roman"/>
          <w:sz w:val="24"/>
          <w:szCs w:val="24"/>
        </w:rPr>
        <w:t xml:space="preserve">to </w:t>
      </w:r>
      <w:r w:rsidR="00397E14">
        <w:rPr>
          <w:rFonts w:ascii="Times New Roman" w:hAnsi="Times New Roman" w:cs="Times New Roman"/>
          <w:sz w:val="24"/>
          <w:szCs w:val="24"/>
        </w:rPr>
        <w:lastRenderedPageBreak/>
        <w:t>create a new monopoly supplier</w:t>
      </w:r>
      <w:r w:rsidR="009A4981">
        <w:rPr>
          <w:rFonts w:ascii="Times New Roman" w:hAnsi="Times New Roman" w:cs="Times New Roman"/>
          <w:sz w:val="24"/>
          <w:szCs w:val="24"/>
        </w:rPr>
        <w:t xml:space="preserve">, while simultaneously driving the existing GOES supplier out of the market and killing further investment in GOES </w:t>
      </w:r>
      <w:r w:rsidR="00BB2FC2">
        <w:rPr>
          <w:rFonts w:ascii="Times New Roman" w:hAnsi="Times New Roman" w:cs="Times New Roman"/>
          <w:sz w:val="24"/>
          <w:szCs w:val="24"/>
        </w:rPr>
        <w:t>under consideration or announced by other steel producers</w:t>
      </w:r>
      <w:r w:rsidR="009A4981">
        <w:rPr>
          <w:rFonts w:ascii="Times New Roman" w:hAnsi="Times New Roman" w:cs="Times New Roman"/>
          <w:sz w:val="24"/>
          <w:szCs w:val="24"/>
        </w:rPr>
        <w:t>.</w:t>
      </w:r>
    </w:p>
    <w:p w14:paraId="75EC9068" w14:textId="0F6CDE7E" w:rsidR="00397E14" w:rsidRDefault="00397E14" w:rsidP="00BF375B">
      <w:pPr>
        <w:pStyle w:val="NoSpacing"/>
        <w:rPr>
          <w:rFonts w:ascii="Times New Roman" w:hAnsi="Times New Roman" w:cs="Times New Roman"/>
          <w:sz w:val="24"/>
          <w:szCs w:val="24"/>
        </w:rPr>
      </w:pPr>
    </w:p>
    <w:p w14:paraId="0C98F0AA" w14:textId="6BB6348D" w:rsidR="00827428" w:rsidRDefault="003210E7" w:rsidP="00BF375B">
      <w:pPr>
        <w:pStyle w:val="NoSpacing"/>
        <w:rPr>
          <w:rFonts w:ascii="Times New Roman" w:hAnsi="Times New Roman" w:cs="Times New Roman"/>
          <w:sz w:val="24"/>
          <w:szCs w:val="24"/>
        </w:rPr>
      </w:pPr>
      <w:r>
        <w:rPr>
          <w:rFonts w:ascii="Times New Roman" w:hAnsi="Times New Roman" w:cs="Times New Roman"/>
          <w:sz w:val="24"/>
          <w:szCs w:val="24"/>
        </w:rPr>
        <w:t>Furthermore</w:t>
      </w:r>
      <w:r w:rsidR="00397E14">
        <w:rPr>
          <w:rFonts w:ascii="Times New Roman" w:hAnsi="Times New Roman" w:cs="Times New Roman"/>
          <w:sz w:val="24"/>
          <w:szCs w:val="24"/>
        </w:rPr>
        <w:t xml:space="preserve">, we have serious concerns </w:t>
      </w:r>
      <w:r>
        <w:rPr>
          <w:rFonts w:ascii="Times New Roman" w:hAnsi="Times New Roman" w:cs="Times New Roman"/>
          <w:sz w:val="24"/>
          <w:szCs w:val="24"/>
        </w:rPr>
        <w:t>about whether</w:t>
      </w:r>
      <w:r w:rsidR="00397E14">
        <w:rPr>
          <w:rFonts w:ascii="Times New Roman" w:hAnsi="Times New Roman" w:cs="Times New Roman"/>
          <w:sz w:val="24"/>
          <w:szCs w:val="24"/>
        </w:rPr>
        <w:t xml:space="preserve"> the only domestic producer of amorphous steel </w:t>
      </w:r>
      <w:r w:rsidR="00B31124">
        <w:rPr>
          <w:rFonts w:ascii="Times New Roman" w:hAnsi="Times New Roman" w:cs="Times New Roman"/>
          <w:sz w:val="24"/>
          <w:szCs w:val="24"/>
        </w:rPr>
        <w:t xml:space="preserve">cores today </w:t>
      </w:r>
      <w:r>
        <w:rPr>
          <w:rFonts w:ascii="Times New Roman" w:hAnsi="Times New Roman" w:cs="Times New Roman"/>
          <w:sz w:val="24"/>
          <w:szCs w:val="24"/>
        </w:rPr>
        <w:t xml:space="preserve">would even </w:t>
      </w:r>
      <w:r w:rsidR="00B31124">
        <w:rPr>
          <w:rFonts w:ascii="Times New Roman" w:hAnsi="Times New Roman" w:cs="Times New Roman"/>
          <w:sz w:val="24"/>
          <w:szCs w:val="24"/>
        </w:rPr>
        <w:t xml:space="preserve">be able to meet electric utilities’ demand for distribution transformers. The only </w:t>
      </w:r>
      <w:r>
        <w:rPr>
          <w:rFonts w:ascii="Times New Roman" w:hAnsi="Times New Roman" w:cs="Times New Roman"/>
          <w:sz w:val="24"/>
          <w:szCs w:val="24"/>
        </w:rPr>
        <w:t xml:space="preserve">amorphous steel core </w:t>
      </w:r>
      <w:r w:rsidR="00BB2FC2">
        <w:rPr>
          <w:rFonts w:ascii="Times New Roman" w:hAnsi="Times New Roman" w:cs="Times New Roman"/>
          <w:sz w:val="24"/>
          <w:szCs w:val="24"/>
        </w:rPr>
        <w:t>producer</w:t>
      </w:r>
      <w:r>
        <w:rPr>
          <w:rFonts w:ascii="Times New Roman" w:hAnsi="Times New Roman" w:cs="Times New Roman"/>
          <w:sz w:val="24"/>
          <w:szCs w:val="24"/>
        </w:rPr>
        <w:t>’s</w:t>
      </w:r>
      <w:r w:rsidR="00B31124">
        <w:rPr>
          <w:rFonts w:ascii="Times New Roman" w:hAnsi="Times New Roman" w:cs="Times New Roman"/>
          <w:sz w:val="24"/>
          <w:szCs w:val="24"/>
        </w:rPr>
        <w:t xml:space="preserve"> output</w:t>
      </w:r>
      <w:r>
        <w:rPr>
          <w:rFonts w:ascii="Times New Roman" w:hAnsi="Times New Roman" w:cs="Times New Roman"/>
          <w:sz w:val="24"/>
          <w:szCs w:val="24"/>
        </w:rPr>
        <w:t xml:space="preserve"> today</w:t>
      </w:r>
      <w:r w:rsidR="00B31124">
        <w:rPr>
          <w:rFonts w:ascii="Times New Roman" w:hAnsi="Times New Roman" w:cs="Times New Roman"/>
          <w:sz w:val="24"/>
          <w:szCs w:val="24"/>
        </w:rPr>
        <w:t xml:space="preserve"> is a mere fraction of what would be required </w:t>
      </w:r>
      <w:r w:rsidR="00827428">
        <w:rPr>
          <w:rFonts w:ascii="Times New Roman" w:hAnsi="Times New Roman" w:cs="Times New Roman"/>
          <w:sz w:val="24"/>
          <w:szCs w:val="24"/>
        </w:rPr>
        <w:t xml:space="preserve">to adequately meet the </w:t>
      </w:r>
      <w:r>
        <w:rPr>
          <w:rFonts w:ascii="Times New Roman" w:hAnsi="Times New Roman" w:cs="Times New Roman"/>
          <w:sz w:val="24"/>
          <w:szCs w:val="24"/>
        </w:rPr>
        <w:t xml:space="preserve">electric utilities’ </w:t>
      </w:r>
      <w:r w:rsidR="00827428">
        <w:rPr>
          <w:rFonts w:ascii="Times New Roman" w:hAnsi="Times New Roman" w:cs="Times New Roman"/>
          <w:sz w:val="24"/>
          <w:szCs w:val="24"/>
        </w:rPr>
        <w:t>demand</w:t>
      </w:r>
      <w:r>
        <w:rPr>
          <w:rFonts w:ascii="Times New Roman" w:hAnsi="Times New Roman" w:cs="Times New Roman"/>
          <w:sz w:val="24"/>
          <w:szCs w:val="24"/>
        </w:rPr>
        <w:t>, raising serious implications for electric reliability and affordability.</w:t>
      </w:r>
      <w:r w:rsidR="00827428">
        <w:rPr>
          <w:rFonts w:ascii="Times New Roman" w:hAnsi="Times New Roman" w:cs="Times New Roman"/>
          <w:sz w:val="24"/>
          <w:szCs w:val="24"/>
        </w:rPr>
        <w:t xml:space="preserve"> The NOPR as currently drafted seems to be relying on a single supplier in the market to ramp up output to meet </w:t>
      </w:r>
      <w:r w:rsidR="00BB2FC2">
        <w:rPr>
          <w:rFonts w:ascii="Times New Roman" w:hAnsi="Times New Roman" w:cs="Times New Roman"/>
          <w:sz w:val="24"/>
          <w:szCs w:val="24"/>
        </w:rPr>
        <w:t xml:space="preserve">the </w:t>
      </w:r>
      <w:r w:rsidR="00827428">
        <w:rPr>
          <w:rFonts w:ascii="Times New Roman" w:hAnsi="Times New Roman" w:cs="Times New Roman"/>
          <w:sz w:val="24"/>
          <w:szCs w:val="24"/>
        </w:rPr>
        <w:t>demand on an incredibly short time frame of just three years.</w:t>
      </w:r>
      <w:r w:rsidR="00B31124">
        <w:rPr>
          <w:rStyle w:val="FootnoteReference"/>
          <w:rFonts w:ascii="Times New Roman" w:hAnsi="Times New Roman" w:cs="Times New Roman"/>
          <w:sz w:val="24"/>
          <w:szCs w:val="24"/>
        </w:rPr>
        <w:footnoteReference w:id="1"/>
      </w:r>
      <w:r w:rsidR="00827428">
        <w:rPr>
          <w:rFonts w:ascii="Times New Roman" w:hAnsi="Times New Roman" w:cs="Times New Roman"/>
          <w:sz w:val="24"/>
          <w:szCs w:val="24"/>
        </w:rPr>
        <w:t xml:space="preserve"> </w:t>
      </w:r>
    </w:p>
    <w:p w14:paraId="1191AE9A" w14:textId="1CE3FE53" w:rsidR="00945102" w:rsidRDefault="00945102" w:rsidP="00BF375B">
      <w:pPr>
        <w:pStyle w:val="NoSpacing"/>
        <w:rPr>
          <w:rFonts w:ascii="Times New Roman" w:hAnsi="Times New Roman" w:cs="Times New Roman"/>
          <w:sz w:val="24"/>
          <w:szCs w:val="24"/>
        </w:rPr>
      </w:pPr>
    </w:p>
    <w:p w14:paraId="71A0685A" w14:textId="5B1D8990" w:rsidR="00945102" w:rsidRDefault="003210E7" w:rsidP="00BF375B">
      <w:pPr>
        <w:pStyle w:val="NoSpacing"/>
        <w:rPr>
          <w:rFonts w:ascii="Times New Roman" w:hAnsi="Times New Roman" w:cs="Times New Roman"/>
          <w:sz w:val="24"/>
          <w:szCs w:val="24"/>
        </w:rPr>
      </w:pPr>
      <w:r>
        <w:rPr>
          <w:rFonts w:ascii="Times New Roman" w:hAnsi="Times New Roman" w:cs="Times New Roman"/>
          <w:sz w:val="24"/>
          <w:szCs w:val="24"/>
        </w:rPr>
        <w:t>In addition</w:t>
      </w:r>
      <w:r w:rsidR="00B31124">
        <w:rPr>
          <w:rFonts w:ascii="Times New Roman" w:hAnsi="Times New Roman" w:cs="Times New Roman"/>
          <w:sz w:val="24"/>
          <w:szCs w:val="24"/>
        </w:rPr>
        <w:t>, t</w:t>
      </w:r>
      <w:r w:rsidR="00945102">
        <w:rPr>
          <w:rFonts w:ascii="Times New Roman" w:hAnsi="Times New Roman" w:cs="Times New Roman"/>
          <w:sz w:val="24"/>
          <w:szCs w:val="24"/>
        </w:rPr>
        <w:t xml:space="preserve">he Department of Commerce found that </w:t>
      </w:r>
      <w:r w:rsidR="00B31124">
        <w:rPr>
          <w:rFonts w:ascii="Times New Roman" w:hAnsi="Times New Roman" w:cs="Times New Roman"/>
          <w:sz w:val="24"/>
          <w:szCs w:val="24"/>
        </w:rPr>
        <w:t>amorphous steel</w:t>
      </w:r>
      <w:r w:rsidR="00945102">
        <w:rPr>
          <w:rFonts w:ascii="Times New Roman" w:hAnsi="Times New Roman" w:cs="Times New Roman"/>
          <w:sz w:val="24"/>
          <w:szCs w:val="24"/>
        </w:rPr>
        <w:t xml:space="preserve"> is “more labor intensive to form into cores” and “it is more economical in countries with low labor costs.”</w:t>
      </w:r>
      <w:r w:rsidR="00E71A55">
        <w:rPr>
          <w:rStyle w:val="FootnoteReference"/>
          <w:rFonts w:ascii="Times New Roman" w:hAnsi="Times New Roman" w:cs="Times New Roman"/>
          <w:sz w:val="24"/>
          <w:szCs w:val="24"/>
        </w:rPr>
        <w:footnoteReference w:id="2"/>
      </w:r>
      <w:r w:rsidR="00945102">
        <w:rPr>
          <w:rFonts w:ascii="Times New Roman" w:hAnsi="Times New Roman" w:cs="Times New Roman"/>
          <w:sz w:val="24"/>
          <w:szCs w:val="24"/>
        </w:rPr>
        <w:t xml:space="preserve"> The United States</w:t>
      </w:r>
      <w:r w:rsidR="000F2A44">
        <w:rPr>
          <w:rFonts w:ascii="Times New Roman" w:hAnsi="Times New Roman" w:cs="Times New Roman"/>
          <w:sz w:val="24"/>
          <w:szCs w:val="24"/>
        </w:rPr>
        <w:t>’</w:t>
      </w:r>
      <w:r w:rsidR="00945102">
        <w:rPr>
          <w:rFonts w:ascii="Times New Roman" w:hAnsi="Times New Roman" w:cs="Times New Roman"/>
          <w:sz w:val="24"/>
          <w:szCs w:val="24"/>
        </w:rPr>
        <w:t xml:space="preserve"> labor market</w:t>
      </w:r>
      <w:r w:rsidR="002A2582">
        <w:rPr>
          <w:rFonts w:ascii="Times New Roman" w:hAnsi="Times New Roman" w:cs="Times New Roman"/>
          <w:sz w:val="24"/>
          <w:szCs w:val="24"/>
        </w:rPr>
        <w:t>, characterized by higher prevailing wages,</w:t>
      </w:r>
      <w:r w:rsidR="000F2A44">
        <w:rPr>
          <w:rFonts w:ascii="Times New Roman" w:hAnsi="Times New Roman" w:cs="Times New Roman"/>
          <w:sz w:val="24"/>
          <w:szCs w:val="24"/>
        </w:rPr>
        <w:t xml:space="preserve"> is very different than those countries such as China and India where most amorphous steel cores are </w:t>
      </w:r>
      <w:r w:rsidR="00BB2FC2">
        <w:rPr>
          <w:rFonts w:ascii="Times New Roman" w:hAnsi="Times New Roman" w:cs="Times New Roman"/>
          <w:sz w:val="24"/>
          <w:szCs w:val="24"/>
        </w:rPr>
        <w:t xml:space="preserve">widely </w:t>
      </w:r>
      <w:r w:rsidR="000F2A44">
        <w:rPr>
          <w:rFonts w:ascii="Times New Roman" w:hAnsi="Times New Roman" w:cs="Times New Roman"/>
          <w:sz w:val="24"/>
          <w:szCs w:val="24"/>
        </w:rPr>
        <w:t>produced today</w:t>
      </w:r>
      <w:r w:rsidR="00945102">
        <w:rPr>
          <w:rFonts w:ascii="Times New Roman" w:hAnsi="Times New Roman" w:cs="Times New Roman"/>
          <w:sz w:val="24"/>
          <w:szCs w:val="24"/>
        </w:rPr>
        <w:t xml:space="preserve">. Moreover, the labor shortages plaguing many </w:t>
      </w:r>
      <w:r w:rsidR="000F2A44">
        <w:rPr>
          <w:rFonts w:ascii="Times New Roman" w:hAnsi="Times New Roman" w:cs="Times New Roman"/>
          <w:sz w:val="24"/>
          <w:szCs w:val="24"/>
        </w:rPr>
        <w:t xml:space="preserve">U.S. </w:t>
      </w:r>
      <w:r w:rsidR="00945102">
        <w:rPr>
          <w:rFonts w:ascii="Times New Roman" w:hAnsi="Times New Roman" w:cs="Times New Roman"/>
          <w:sz w:val="24"/>
          <w:szCs w:val="24"/>
        </w:rPr>
        <w:t>industries today – including distribution transformer m</w:t>
      </w:r>
      <w:r w:rsidR="00C51B40">
        <w:rPr>
          <w:rFonts w:ascii="Times New Roman" w:hAnsi="Times New Roman" w:cs="Times New Roman"/>
          <w:sz w:val="24"/>
          <w:szCs w:val="24"/>
        </w:rPr>
        <w:t>anufacturers</w:t>
      </w:r>
      <w:r w:rsidR="00945102">
        <w:rPr>
          <w:rFonts w:ascii="Times New Roman" w:hAnsi="Times New Roman" w:cs="Times New Roman"/>
          <w:sz w:val="24"/>
          <w:szCs w:val="24"/>
        </w:rPr>
        <w:t xml:space="preserve">– make it very unlikely that domestic production of amorphous steel cores will ramp up </w:t>
      </w:r>
      <w:r w:rsidR="00BB2FC2">
        <w:rPr>
          <w:rFonts w:ascii="Times New Roman" w:hAnsi="Times New Roman" w:cs="Times New Roman"/>
          <w:sz w:val="24"/>
          <w:szCs w:val="24"/>
        </w:rPr>
        <w:t>to the level</w:t>
      </w:r>
      <w:r w:rsidR="00945102">
        <w:rPr>
          <w:rFonts w:ascii="Times New Roman" w:hAnsi="Times New Roman" w:cs="Times New Roman"/>
          <w:sz w:val="24"/>
          <w:szCs w:val="24"/>
        </w:rPr>
        <w:t xml:space="preserve"> that DOE assumes in the NOPR. The Department of Commerce also found that </w:t>
      </w:r>
      <w:r w:rsidR="00BB2FC2">
        <w:rPr>
          <w:rFonts w:ascii="Times New Roman" w:hAnsi="Times New Roman" w:cs="Times New Roman"/>
          <w:sz w:val="24"/>
          <w:szCs w:val="24"/>
        </w:rPr>
        <w:t xml:space="preserve">the </w:t>
      </w:r>
      <w:r w:rsidR="000F2A44">
        <w:rPr>
          <w:rFonts w:ascii="Times New Roman" w:hAnsi="Times New Roman" w:cs="Times New Roman"/>
          <w:sz w:val="24"/>
          <w:szCs w:val="24"/>
        </w:rPr>
        <w:t>current lone domestic</w:t>
      </w:r>
      <w:r w:rsidR="00945102">
        <w:rPr>
          <w:rFonts w:ascii="Times New Roman" w:hAnsi="Times New Roman" w:cs="Times New Roman"/>
          <w:sz w:val="24"/>
          <w:szCs w:val="24"/>
        </w:rPr>
        <w:t xml:space="preserve"> supplier “has lost 50 percent of its employees due to its inability to compete with imports from China that have flooded the world market.” </w:t>
      </w:r>
      <w:r w:rsidR="00B31124">
        <w:rPr>
          <w:rFonts w:ascii="Times New Roman" w:hAnsi="Times New Roman" w:cs="Times New Roman"/>
          <w:sz w:val="24"/>
          <w:szCs w:val="24"/>
        </w:rPr>
        <w:t xml:space="preserve">We have serious doubts about the ability of one supplier to increase output in the timeline envisioned in this proposal. If this </w:t>
      </w:r>
      <w:r w:rsidR="00E71A55">
        <w:rPr>
          <w:rFonts w:ascii="Times New Roman" w:hAnsi="Times New Roman" w:cs="Times New Roman"/>
          <w:sz w:val="24"/>
          <w:szCs w:val="24"/>
        </w:rPr>
        <w:t>NOPR</w:t>
      </w:r>
      <w:r w:rsidR="00B31124">
        <w:rPr>
          <w:rFonts w:ascii="Times New Roman" w:hAnsi="Times New Roman" w:cs="Times New Roman"/>
          <w:sz w:val="24"/>
          <w:szCs w:val="24"/>
        </w:rPr>
        <w:t xml:space="preserve"> is finalized</w:t>
      </w:r>
      <w:r w:rsidR="00E71A55">
        <w:rPr>
          <w:rFonts w:ascii="Times New Roman" w:hAnsi="Times New Roman" w:cs="Times New Roman"/>
          <w:sz w:val="24"/>
          <w:szCs w:val="24"/>
        </w:rPr>
        <w:t xml:space="preserve"> as drafted,</w:t>
      </w:r>
      <w:r w:rsidR="00B31124">
        <w:rPr>
          <w:rFonts w:ascii="Times New Roman" w:hAnsi="Times New Roman" w:cs="Times New Roman"/>
          <w:sz w:val="24"/>
          <w:szCs w:val="24"/>
        </w:rPr>
        <w:t xml:space="preserve"> and the </w:t>
      </w:r>
      <w:r w:rsidR="00C51B40">
        <w:rPr>
          <w:rFonts w:ascii="Times New Roman" w:hAnsi="Times New Roman" w:cs="Times New Roman"/>
          <w:sz w:val="24"/>
          <w:szCs w:val="24"/>
        </w:rPr>
        <w:t xml:space="preserve">sole </w:t>
      </w:r>
      <w:r w:rsidR="00B31124">
        <w:rPr>
          <w:rFonts w:ascii="Times New Roman" w:hAnsi="Times New Roman" w:cs="Times New Roman"/>
          <w:sz w:val="24"/>
          <w:szCs w:val="24"/>
        </w:rPr>
        <w:t xml:space="preserve">supplier cannot meet the demand, manufacturers will be forced to source their material from international sources (particularly China) representing a </w:t>
      </w:r>
      <w:r w:rsidR="00E71A55">
        <w:rPr>
          <w:rFonts w:ascii="Times New Roman" w:hAnsi="Times New Roman" w:cs="Times New Roman"/>
          <w:sz w:val="24"/>
          <w:szCs w:val="24"/>
        </w:rPr>
        <w:t xml:space="preserve">significant </w:t>
      </w:r>
      <w:r w:rsidR="00B31124">
        <w:rPr>
          <w:rFonts w:ascii="Times New Roman" w:hAnsi="Times New Roman" w:cs="Times New Roman"/>
          <w:sz w:val="24"/>
          <w:szCs w:val="24"/>
        </w:rPr>
        <w:t>national security risk</w:t>
      </w:r>
      <w:r w:rsidR="00E71A55">
        <w:rPr>
          <w:rFonts w:ascii="Times New Roman" w:hAnsi="Times New Roman" w:cs="Times New Roman"/>
          <w:sz w:val="24"/>
          <w:szCs w:val="24"/>
        </w:rPr>
        <w:t xml:space="preserve"> to the United States</w:t>
      </w:r>
      <w:r w:rsidR="00B31124">
        <w:rPr>
          <w:rFonts w:ascii="Times New Roman" w:hAnsi="Times New Roman" w:cs="Times New Roman"/>
          <w:sz w:val="24"/>
          <w:szCs w:val="24"/>
        </w:rPr>
        <w:t>.</w:t>
      </w:r>
    </w:p>
    <w:p w14:paraId="018D2576" w14:textId="3C81EF40" w:rsidR="00827428" w:rsidRDefault="00827428" w:rsidP="00BF375B">
      <w:pPr>
        <w:pStyle w:val="NoSpacing"/>
        <w:rPr>
          <w:rFonts w:ascii="Times New Roman" w:hAnsi="Times New Roman" w:cs="Times New Roman"/>
          <w:sz w:val="24"/>
          <w:szCs w:val="24"/>
        </w:rPr>
      </w:pPr>
    </w:p>
    <w:p w14:paraId="5FC42E5C" w14:textId="0F354992" w:rsidR="00EC1FB8" w:rsidRDefault="00EC1FB8" w:rsidP="00BF375B">
      <w:pPr>
        <w:pStyle w:val="NoSpacing"/>
        <w:rPr>
          <w:rFonts w:ascii="Times New Roman" w:hAnsi="Times New Roman" w:cs="Times New Roman"/>
          <w:sz w:val="24"/>
          <w:szCs w:val="24"/>
        </w:rPr>
      </w:pPr>
      <w:r>
        <w:rPr>
          <w:rFonts w:ascii="Times New Roman" w:hAnsi="Times New Roman" w:cs="Times New Roman"/>
          <w:sz w:val="24"/>
          <w:szCs w:val="24"/>
        </w:rPr>
        <w:t xml:space="preserve">Contrary to DOE’s statements, the NOPR would not increase diversity of steel suppliers in the market but would rather drive out the </w:t>
      </w:r>
      <w:r w:rsidR="002F51FF">
        <w:rPr>
          <w:rFonts w:ascii="Times New Roman" w:hAnsi="Times New Roman" w:cs="Times New Roman"/>
          <w:sz w:val="24"/>
          <w:szCs w:val="24"/>
        </w:rPr>
        <w:t xml:space="preserve">lone </w:t>
      </w:r>
      <w:r>
        <w:rPr>
          <w:rFonts w:ascii="Times New Roman" w:hAnsi="Times New Roman" w:cs="Times New Roman"/>
          <w:sz w:val="24"/>
          <w:szCs w:val="24"/>
        </w:rPr>
        <w:t xml:space="preserve">GOES supplier in favor of an amorphous supplier because the new efficiency standards will drive </w:t>
      </w:r>
      <w:r w:rsidR="00BB2FC2">
        <w:rPr>
          <w:rFonts w:ascii="Times New Roman" w:hAnsi="Times New Roman" w:cs="Times New Roman"/>
          <w:sz w:val="24"/>
          <w:szCs w:val="24"/>
        </w:rPr>
        <w:t xml:space="preserve">nearly </w:t>
      </w:r>
      <w:r>
        <w:rPr>
          <w:rFonts w:ascii="Times New Roman" w:hAnsi="Times New Roman" w:cs="Times New Roman"/>
          <w:sz w:val="24"/>
          <w:szCs w:val="24"/>
        </w:rPr>
        <w:t xml:space="preserve">all </w:t>
      </w:r>
      <w:r w:rsidR="002F51FF">
        <w:rPr>
          <w:rFonts w:ascii="Times New Roman" w:hAnsi="Times New Roman" w:cs="Times New Roman"/>
          <w:sz w:val="24"/>
          <w:szCs w:val="24"/>
        </w:rPr>
        <w:t xml:space="preserve">distribution transformer </w:t>
      </w:r>
      <w:r>
        <w:rPr>
          <w:rFonts w:ascii="Times New Roman" w:hAnsi="Times New Roman" w:cs="Times New Roman"/>
          <w:sz w:val="24"/>
          <w:szCs w:val="24"/>
        </w:rPr>
        <w:t>manufacturing away from GOES.</w:t>
      </w:r>
      <w:r w:rsidR="002F51FF">
        <w:rPr>
          <w:rFonts w:ascii="Times New Roman" w:hAnsi="Times New Roman" w:cs="Times New Roman"/>
          <w:sz w:val="24"/>
          <w:szCs w:val="24"/>
        </w:rPr>
        <w:t xml:space="preserve"> In addition, steel producers that have made tentative commitments to invest in electrical steel in the coming years will likely </w:t>
      </w:r>
      <w:r w:rsidR="00C51B40">
        <w:rPr>
          <w:rFonts w:ascii="Times New Roman" w:hAnsi="Times New Roman" w:cs="Times New Roman"/>
          <w:sz w:val="24"/>
          <w:szCs w:val="24"/>
        </w:rPr>
        <w:t xml:space="preserve">forego those additional investments </w:t>
      </w:r>
      <w:r w:rsidR="002F51FF">
        <w:rPr>
          <w:rFonts w:ascii="Times New Roman" w:hAnsi="Times New Roman" w:cs="Times New Roman"/>
          <w:sz w:val="24"/>
          <w:szCs w:val="24"/>
        </w:rPr>
        <w:t>because the manufactur</w:t>
      </w:r>
      <w:r w:rsidR="00C51B40">
        <w:rPr>
          <w:rFonts w:ascii="Times New Roman" w:hAnsi="Times New Roman" w:cs="Times New Roman"/>
          <w:sz w:val="24"/>
          <w:szCs w:val="24"/>
        </w:rPr>
        <w:t xml:space="preserve">ing community </w:t>
      </w:r>
      <w:r w:rsidR="002F51FF">
        <w:rPr>
          <w:rFonts w:ascii="Times New Roman" w:hAnsi="Times New Roman" w:cs="Times New Roman"/>
          <w:sz w:val="24"/>
          <w:szCs w:val="24"/>
        </w:rPr>
        <w:t xml:space="preserve">will be forced to move away from GOES. This </w:t>
      </w:r>
      <w:r w:rsidR="00BB2FC2">
        <w:rPr>
          <w:rFonts w:ascii="Times New Roman" w:hAnsi="Times New Roman" w:cs="Times New Roman"/>
          <w:sz w:val="24"/>
          <w:szCs w:val="24"/>
        </w:rPr>
        <w:t xml:space="preserve">move </w:t>
      </w:r>
      <w:r w:rsidR="002F51FF">
        <w:rPr>
          <w:rFonts w:ascii="Times New Roman" w:hAnsi="Times New Roman" w:cs="Times New Roman"/>
          <w:sz w:val="24"/>
          <w:szCs w:val="24"/>
        </w:rPr>
        <w:t>will also be detrimental</w:t>
      </w:r>
      <w:r w:rsidR="00BB2FC2">
        <w:rPr>
          <w:rFonts w:ascii="Times New Roman" w:hAnsi="Times New Roman" w:cs="Times New Roman"/>
          <w:sz w:val="24"/>
          <w:szCs w:val="24"/>
        </w:rPr>
        <w:t xml:space="preserve"> to bringing back domestic manufacturing capacity for</w:t>
      </w:r>
      <w:r w:rsidR="002F51FF">
        <w:rPr>
          <w:rFonts w:ascii="Times New Roman" w:hAnsi="Times New Roman" w:cs="Times New Roman"/>
          <w:sz w:val="24"/>
          <w:szCs w:val="24"/>
        </w:rPr>
        <w:t xml:space="preserve"> large power transformers </w:t>
      </w:r>
      <w:r w:rsidR="0078599E">
        <w:rPr>
          <w:rFonts w:ascii="Times New Roman" w:hAnsi="Times New Roman" w:cs="Times New Roman"/>
          <w:sz w:val="24"/>
          <w:szCs w:val="24"/>
        </w:rPr>
        <w:t>(LPTs)</w:t>
      </w:r>
      <w:r w:rsidR="00190F1C">
        <w:rPr>
          <w:rFonts w:ascii="Times New Roman" w:hAnsi="Times New Roman" w:cs="Times New Roman"/>
          <w:sz w:val="24"/>
          <w:szCs w:val="24"/>
        </w:rPr>
        <w:t xml:space="preserve"> </w:t>
      </w:r>
      <w:r w:rsidR="002F51FF">
        <w:rPr>
          <w:rFonts w:ascii="Times New Roman" w:hAnsi="Times New Roman" w:cs="Times New Roman"/>
          <w:sz w:val="24"/>
          <w:szCs w:val="24"/>
        </w:rPr>
        <w:t xml:space="preserve">used for </w:t>
      </w:r>
      <w:r w:rsidR="0078599E">
        <w:rPr>
          <w:rFonts w:ascii="Times New Roman" w:hAnsi="Times New Roman" w:cs="Times New Roman"/>
          <w:sz w:val="24"/>
          <w:szCs w:val="24"/>
        </w:rPr>
        <w:t xml:space="preserve">electric utility </w:t>
      </w:r>
      <w:r w:rsidR="002F51FF">
        <w:rPr>
          <w:rFonts w:ascii="Times New Roman" w:hAnsi="Times New Roman" w:cs="Times New Roman"/>
          <w:sz w:val="24"/>
          <w:szCs w:val="24"/>
        </w:rPr>
        <w:t>transmission</w:t>
      </w:r>
      <w:r w:rsidR="0078599E">
        <w:rPr>
          <w:rFonts w:ascii="Times New Roman" w:hAnsi="Times New Roman" w:cs="Times New Roman"/>
          <w:sz w:val="24"/>
          <w:szCs w:val="24"/>
        </w:rPr>
        <w:t xml:space="preserve"> service</w:t>
      </w:r>
      <w:r w:rsidR="00BB2FC2">
        <w:rPr>
          <w:rFonts w:ascii="Times New Roman" w:hAnsi="Times New Roman" w:cs="Times New Roman"/>
          <w:sz w:val="24"/>
          <w:szCs w:val="24"/>
        </w:rPr>
        <w:t xml:space="preserve">. </w:t>
      </w:r>
      <w:r w:rsidR="00190F1C">
        <w:rPr>
          <w:rFonts w:ascii="Times New Roman" w:hAnsi="Times New Roman" w:cs="Times New Roman"/>
          <w:sz w:val="24"/>
          <w:szCs w:val="24"/>
        </w:rPr>
        <w:t>LPTs</w:t>
      </w:r>
      <w:r w:rsidR="00BB2FC2">
        <w:rPr>
          <w:rFonts w:ascii="Times New Roman" w:hAnsi="Times New Roman" w:cs="Times New Roman"/>
          <w:sz w:val="24"/>
          <w:szCs w:val="24"/>
        </w:rPr>
        <w:t xml:space="preserve"> use GOES and</w:t>
      </w:r>
      <w:r w:rsidR="002F51FF">
        <w:rPr>
          <w:rFonts w:ascii="Times New Roman" w:hAnsi="Times New Roman" w:cs="Times New Roman"/>
          <w:sz w:val="24"/>
          <w:szCs w:val="24"/>
        </w:rPr>
        <w:t xml:space="preserve"> cannot use amorphous steel cores</w:t>
      </w:r>
      <w:r w:rsidR="00BB2FC2">
        <w:rPr>
          <w:rFonts w:ascii="Times New Roman" w:hAnsi="Times New Roman" w:cs="Times New Roman"/>
          <w:sz w:val="24"/>
          <w:szCs w:val="24"/>
        </w:rPr>
        <w:t>, and it has already been identified as another national security risk that the U.S. receives nearly all LPTs and their components from overseas</w:t>
      </w:r>
      <w:r w:rsidR="002F51FF">
        <w:rPr>
          <w:rFonts w:ascii="Times New Roman" w:hAnsi="Times New Roman" w:cs="Times New Roman"/>
          <w:sz w:val="24"/>
          <w:szCs w:val="24"/>
        </w:rPr>
        <w:t xml:space="preserve">. </w:t>
      </w:r>
    </w:p>
    <w:p w14:paraId="70B3E9F8" w14:textId="40591603" w:rsidR="00827428" w:rsidRDefault="00827428" w:rsidP="00BF375B">
      <w:pPr>
        <w:pStyle w:val="NoSpacing"/>
        <w:rPr>
          <w:rFonts w:ascii="Times New Roman" w:hAnsi="Times New Roman" w:cs="Times New Roman"/>
          <w:sz w:val="24"/>
          <w:szCs w:val="24"/>
        </w:rPr>
      </w:pPr>
    </w:p>
    <w:p w14:paraId="5EB561EF" w14:textId="5277E358" w:rsidR="003972AA" w:rsidRDefault="002F51FF" w:rsidP="00BF375B">
      <w:pPr>
        <w:pStyle w:val="NoSpacing"/>
        <w:rPr>
          <w:rFonts w:ascii="Times New Roman" w:hAnsi="Times New Roman" w:cs="Times New Roman"/>
          <w:sz w:val="24"/>
          <w:szCs w:val="24"/>
        </w:rPr>
      </w:pPr>
      <w:r>
        <w:rPr>
          <w:rFonts w:ascii="Times New Roman" w:hAnsi="Times New Roman" w:cs="Times New Roman"/>
          <w:sz w:val="24"/>
          <w:szCs w:val="24"/>
        </w:rPr>
        <w:t xml:space="preserve">Finally, we must emphasize that </w:t>
      </w:r>
      <w:r w:rsidRPr="002F51FF">
        <w:rPr>
          <w:rFonts w:ascii="Times New Roman" w:hAnsi="Times New Roman" w:cs="Times New Roman"/>
          <w:sz w:val="24"/>
          <w:szCs w:val="24"/>
        </w:rPr>
        <w:t>t</w:t>
      </w:r>
      <w:r w:rsidR="00455633" w:rsidRPr="002F51FF">
        <w:rPr>
          <w:rFonts w:ascii="Times New Roman" w:hAnsi="Times New Roman" w:cs="Times New Roman"/>
          <w:sz w:val="24"/>
          <w:szCs w:val="24"/>
        </w:rPr>
        <w:t xml:space="preserve">he </w:t>
      </w:r>
      <w:r w:rsidR="00BF375B" w:rsidRPr="002F51FF">
        <w:rPr>
          <w:rFonts w:ascii="Times New Roman" w:hAnsi="Times New Roman" w:cs="Times New Roman"/>
          <w:sz w:val="24"/>
          <w:szCs w:val="24"/>
        </w:rPr>
        <w:t xml:space="preserve">current </w:t>
      </w:r>
      <w:r w:rsidR="0078599E">
        <w:rPr>
          <w:rFonts w:ascii="Times New Roman" w:hAnsi="Times New Roman" w:cs="Times New Roman"/>
          <w:sz w:val="24"/>
          <w:szCs w:val="24"/>
        </w:rPr>
        <w:t>manufacturing base</w:t>
      </w:r>
      <w:r w:rsidR="00BF375B" w:rsidRPr="002F51FF">
        <w:rPr>
          <w:rFonts w:ascii="Times New Roman" w:hAnsi="Times New Roman" w:cs="Times New Roman"/>
          <w:sz w:val="24"/>
          <w:szCs w:val="24"/>
        </w:rPr>
        <w:t xml:space="preserve"> </w:t>
      </w:r>
      <w:r w:rsidR="00455633" w:rsidRPr="002F51FF">
        <w:rPr>
          <w:rFonts w:ascii="Times New Roman" w:hAnsi="Times New Roman" w:cs="Times New Roman"/>
          <w:sz w:val="24"/>
          <w:szCs w:val="24"/>
        </w:rPr>
        <w:t xml:space="preserve">serving </w:t>
      </w:r>
      <w:r w:rsidR="00B64EE4">
        <w:rPr>
          <w:rFonts w:ascii="Times New Roman" w:hAnsi="Times New Roman" w:cs="Times New Roman"/>
          <w:sz w:val="24"/>
          <w:szCs w:val="24"/>
        </w:rPr>
        <w:t>electric utilities</w:t>
      </w:r>
      <w:r w:rsidR="00455633" w:rsidRPr="002F51FF">
        <w:rPr>
          <w:rFonts w:ascii="Times New Roman" w:hAnsi="Times New Roman" w:cs="Times New Roman"/>
          <w:sz w:val="24"/>
          <w:szCs w:val="24"/>
        </w:rPr>
        <w:t xml:space="preserve"> </w:t>
      </w:r>
      <w:r w:rsidR="00BF375B" w:rsidRPr="002F51FF">
        <w:rPr>
          <w:rFonts w:ascii="Times New Roman" w:hAnsi="Times New Roman" w:cs="Times New Roman"/>
          <w:sz w:val="24"/>
          <w:szCs w:val="24"/>
        </w:rPr>
        <w:t>is struggling to meet demand</w:t>
      </w:r>
      <w:r w:rsidR="00455633" w:rsidRPr="002F51FF">
        <w:rPr>
          <w:rFonts w:ascii="Times New Roman" w:hAnsi="Times New Roman" w:cs="Times New Roman"/>
          <w:sz w:val="24"/>
          <w:szCs w:val="24"/>
        </w:rPr>
        <w:t xml:space="preserve"> and </w:t>
      </w:r>
      <w:r>
        <w:rPr>
          <w:rFonts w:ascii="Times New Roman" w:hAnsi="Times New Roman" w:cs="Times New Roman"/>
          <w:sz w:val="24"/>
          <w:szCs w:val="24"/>
        </w:rPr>
        <w:t>DOE’s NOPR</w:t>
      </w:r>
      <w:r w:rsidR="00455633" w:rsidRPr="002F51FF">
        <w:rPr>
          <w:rFonts w:ascii="Times New Roman" w:hAnsi="Times New Roman" w:cs="Times New Roman"/>
          <w:sz w:val="24"/>
          <w:szCs w:val="24"/>
        </w:rPr>
        <w:t xml:space="preserve"> </w:t>
      </w:r>
      <w:r w:rsidR="00B64EE4">
        <w:rPr>
          <w:rFonts w:ascii="Times New Roman" w:hAnsi="Times New Roman" w:cs="Times New Roman"/>
          <w:sz w:val="24"/>
          <w:szCs w:val="24"/>
        </w:rPr>
        <w:t>exacerbates this ongoing crisis</w:t>
      </w:r>
      <w:r w:rsidR="00BF375B" w:rsidRPr="002F51FF">
        <w:rPr>
          <w:rFonts w:ascii="Times New Roman" w:hAnsi="Times New Roman" w:cs="Times New Roman"/>
          <w:sz w:val="24"/>
          <w:szCs w:val="24"/>
        </w:rPr>
        <w:t>.</w:t>
      </w:r>
      <w:r>
        <w:rPr>
          <w:rFonts w:ascii="Times New Roman" w:hAnsi="Times New Roman" w:cs="Times New Roman"/>
          <w:sz w:val="24"/>
          <w:szCs w:val="24"/>
        </w:rPr>
        <w:t xml:space="preserve"> </w:t>
      </w:r>
      <w:r w:rsidR="00661276">
        <w:rPr>
          <w:rFonts w:ascii="Times New Roman" w:hAnsi="Times New Roman" w:cs="Times New Roman"/>
          <w:sz w:val="24"/>
          <w:szCs w:val="24"/>
        </w:rPr>
        <w:t xml:space="preserve">Our members are facing </w:t>
      </w:r>
      <w:r w:rsidR="00661276" w:rsidRPr="00661276">
        <w:rPr>
          <w:rFonts w:ascii="Times New Roman" w:hAnsi="Times New Roman" w:cs="Times New Roman"/>
          <w:sz w:val="24"/>
          <w:szCs w:val="24"/>
        </w:rPr>
        <w:t xml:space="preserve">unprecedented challenges securing equipment and material to provide reliable electric service to </w:t>
      </w:r>
      <w:r w:rsidR="00661276">
        <w:rPr>
          <w:rFonts w:ascii="Times New Roman" w:hAnsi="Times New Roman" w:cs="Times New Roman"/>
          <w:sz w:val="24"/>
          <w:szCs w:val="24"/>
        </w:rPr>
        <w:t xml:space="preserve">their </w:t>
      </w:r>
      <w:r w:rsidR="00661276" w:rsidRPr="00661276">
        <w:rPr>
          <w:rFonts w:ascii="Times New Roman" w:hAnsi="Times New Roman" w:cs="Times New Roman"/>
          <w:sz w:val="24"/>
          <w:szCs w:val="24"/>
        </w:rPr>
        <w:t>customers.</w:t>
      </w:r>
      <w:r>
        <w:rPr>
          <w:rFonts w:ascii="Times New Roman" w:hAnsi="Times New Roman" w:cs="Times New Roman"/>
          <w:sz w:val="24"/>
          <w:szCs w:val="24"/>
        </w:rPr>
        <w:t xml:space="preserve"> </w:t>
      </w:r>
      <w:r w:rsidR="003972AA">
        <w:rPr>
          <w:rFonts w:ascii="Times New Roman" w:hAnsi="Times New Roman" w:cs="Times New Roman"/>
          <w:sz w:val="24"/>
          <w:szCs w:val="24"/>
        </w:rPr>
        <w:t xml:space="preserve">Electric utilities have been sounding the alarm for more than a year about the supply chain constraints around multiple types of equipment they require to keep the </w:t>
      </w:r>
      <w:r w:rsidR="003972AA">
        <w:rPr>
          <w:rFonts w:ascii="Times New Roman" w:hAnsi="Times New Roman" w:cs="Times New Roman"/>
          <w:sz w:val="24"/>
          <w:szCs w:val="24"/>
        </w:rPr>
        <w:lastRenderedPageBreak/>
        <w:t xml:space="preserve">lights on, with distribution transformers </w:t>
      </w:r>
      <w:r w:rsidR="00B62421">
        <w:rPr>
          <w:rFonts w:ascii="Times New Roman" w:hAnsi="Times New Roman" w:cs="Times New Roman"/>
          <w:sz w:val="24"/>
          <w:szCs w:val="24"/>
        </w:rPr>
        <w:t xml:space="preserve">being the most acute challenge. </w:t>
      </w:r>
      <w:r w:rsidR="00B64EE4">
        <w:rPr>
          <w:rFonts w:ascii="Times New Roman" w:hAnsi="Times New Roman" w:cs="Times New Roman"/>
          <w:sz w:val="24"/>
          <w:szCs w:val="24"/>
        </w:rPr>
        <w:t xml:space="preserve">It </w:t>
      </w:r>
      <w:r w:rsidR="00B62421">
        <w:rPr>
          <w:rFonts w:ascii="Times New Roman" w:hAnsi="Times New Roman" w:cs="Times New Roman"/>
          <w:sz w:val="24"/>
          <w:szCs w:val="24"/>
        </w:rPr>
        <w:t xml:space="preserve">now takes more than a year </w:t>
      </w:r>
      <w:r w:rsidR="00B64EE4">
        <w:rPr>
          <w:rFonts w:ascii="Times New Roman" w:hAnsi="Times New Roman" w:cs="Times New Roman"/>
          <w:sz w:val="24"/>
          <w:szCs w:val="24"/>
        </w:rPr>
        <w:t xml:space="preserve">on average </w:t>
      </w:r>
      <w:r w:rsidR="00B62421">
        <w:rPr>
          <w:rFonts w:ascii="Times New Roman" w:hAnsi="Times New Roman" w:cs="Times New Roman"/>
          <w:sz w:val="24"/>
          <w:szCs w:val="24"/>
        </w:rPr>
        <w:t>for utilities to receive distribution transformers</w:t>
      </w:r>
      <w:r w:rsidR="0078599E">
        <w:rPr>
          <w:rFonts w:ascii="Times New Roman" w:hAnsi="Times New Roman" w:cs="Times New Roman"/>
          <w:sz w:val="24"/>
          <w:szCs w:val="24"/>
        </w:rPr>
        <w:t xml:space="preserve">, compared with </w:t>
      </w:r>
      <w:r w:rsidR="00190F1C">
        <w:rPr>
          <w:rFonts w:ascii="Times New Roman" w:hAnsi="Times New Roman" w:cs="Times New Roman"/>
          <w:sz w:val="24"/>
          <w:szCs w:val="24"/>
        </w:rPr>
        <w:t>60</w:t>
      </w:r>
      <w:r w:rsidR="0078599E">
        <w:rPr>
          <w:rFonts w:ascii="Times New Roman" w:hAnsi="Times New Roman" w:cs="Times New Roman"/>
          <w:sz w:val="24"/>
          <w:szCs w:val="24"/>
        </w:rPr>
        <w:t xml:space="preserve"> days </w:t>
      </w:r>
      <w:r w:rsidR="00190F1C">
        <w:rPr>
          <w:rFonts w:ascii="Times New Roman" w:hAnsi="Times New Roman" w:cs="Times New Roman"/>
          <w:sz w:val="24"/>
          <w:szCs w:val="24"/>
        </w:rPr>
        <w:t xml:space="preserve">just a couple </w:t>
      </w:r>
      <w:r w:rsidR="0078599E">
        <w:rPr>
          <w:rFonts w:ascii="Times New Roman" w:hAnsi="Times New Roman" w:cs="Times New Roman"/>
          <w:sz w:val="24"/>
          <w:szCs w:val="24"/>
        </w:rPr>
        <w:t>years ago</w:t>
      </w:r>
      <w:r w:rsidR="00B62421">
        <w:rPr>
          <w:rFonts w:ascii="Times New Roman" w:hAnsi="Times New Roman" w:cs="Times New Roman"/>
          <w:sz w:val="24"/>
          <w:szCs w:val="24"/>
        </w:rPr>
        <w:t>. Further, we expect the</w:t>
      </w:r>
      <w:r w:rsidR="00B64EE4">
        <w:rPr>
          <w:rFonts w:ascii="Times New Roman" w:hAnsi="Times New Roman" w:cs="Times New Roman"/>
          <w:sz w:val="24"/>
          <w:szCs w:val="24"/>
        </w:rPr>
        <w:t xml:space="preserve"> backlog to continue to </w:t>
      </w:r>
      <w:r w:rsidR="00B62421">
        <w:rPr>
          <w:rFonts w:ascii="Times New Roman" w:hAnsi="Times New Roman" w:cs="Times New Roman"/>
          <w:sz w:val="24"/>
          <w:szCs w:val="24"/>
        </w:rPr>
        <w:t xml:space="preserve">increase </w:t>
      </w:r>
      <w:r w:rsidR="00B64EE4">
        <w:rPr>
          <w:rFonts w:ascii="Times New Roman" w:hAnsi="Times New Roman" w:cs="Times New Roman"/>
          <w:sz w:val="24"/>
          <w:szCs w:val="24"/>
        </w:rPr>
        <w:t xml:space="preserve">absent U.S. government support </w:t>
      </w:r>
      <w:r w:rsidR="00B62421">
        <w:rPr>
          <w:rFonts w:ascii="Times New Roman" w:hAnsi="Times New Roman" w:cs="Times New Roman"/>
          <w:sz w:val="24"/>
          <w:szCs w:val="24"/>
        </w:rPr>
        <w:t xml:space="preserve">as utilities invest in grid resilience and modernization projects and </w:t>
      </w:r>
      <w:r w:rsidR="00B64EE4">
        <w:rPr>
          <w:rFonts w:ascii="Times New Roman" w:hAnsi="Times New Roman" w:cs="Times New Roman"/>
          <w:sz w:val="24"/>
          <w:szCs w:val="24"/>
        </w:rPr>
        <w:t xml:space="preserve">federal and state policies drive more </w:t>
      </w:r>
      <w:r w:rsidR="00B62421">
        <w:rPr>
          <w:rFonts w:ascii="Times New Roman" w:hAnsi="Times New Roman" w:cs="Times New Roman"/>
          <w:sz w:val="24"/>
          <w:szCs w:val="24"/>
        </w:rPr>
        <w:t>electrification.</w:t>
      </w:r>
      <w:r w:rsidR="00B64EE4">
        <w:rPr>
          <w:rFonts w:ascii="Times New Roman" w:hAnsi="Times New Roman" w:cs="Times New Roman"/>
          <w:sz w:val="24"/>
          <w:szCs w:val="24"/>
        </w:rPr>
        <w:t xml:space="preserve"> With that backdrop, DOE’s NOPR </w:t>
      </w:r>
      <w:r w:rsidR="00B64EE4" w:rsidRPr="003972AA">
        <w:rPr>
          <w:rFonts w:ascii="Times New Roman" w:hAnsi="Times New Roman" w:cs="Times New Roman"/>
          <w:sz w:val="24"/>
          <w:szCs w:val="24"/>
        </w:rPr>
        <w:t xml:space="preserve">sends the wrong signal </w:t>
      </w:r>
      <w:r w:rsidR="00B64EE4">
        <w:rPr>
          <w:rFonts w:ascii="Times New Roman" w:hAnsi="Times New Roman" w:cs="Times New Roman"/>
          <w:sz w:val="24"/>
          <w:szCs w:val="24"/>
        </w:rPr>
        <w:t>at a critical moment when we need more investment in production capability right now and for the next several years to</w:t>
      </w:r>
      <w:r w:rsidR="00B64EE4" w:rsidRPr="003972AA">
        <w:rPr>
          <w:rFonts w:ascii="Times New Roman" w:hAnsi="Times New Roman" w:cs="Times New Roman"/>
          <w:sz w:val="24"/>
          <w:szCs w:val="24"/>
        </w:rPr>
        <w:t xml:space="preserve"> dig us out of the current hole we are in</w:t>
      </w:r>
      <w:r w:rsidR="00B64EE4">
        <w:rPr>
          <w:rFonts w:ascii="Times New Roman" w:hAnsi="Times New Roman" w:cs="Times New Roman"/>
          <w:sz w:val="24"/>
          <w:szCs w:val="24"/>
        </w:rPr>
        <w:t xml:space="preserve"> and be able to meet growing demand</w:t>
      </w:r>
      <w:r w:rsidR="00B64EE4" w:rsidRPr="003972AA">
        <w:rPr>
          <w:rFonts w:ascii="Times New Roman" w:hAnsi="Times New Roman" w:cs="Times New Roman"/>
          <w:sz w:val="24"/>
          <w:szCs w:val="24"/>
        </w:rPr>
        <w:t>.</w:t>
      </w:r>
    </w:p>
    <w:p w14:paraId="430DB396" w14:textId="77777777" w:rsidR="001F6C57" w:rsidRDefault="001F6C57" w:rsidP="00BF375B">
      <w:pPr>
        <w:pStyle w:val="NoSpacing"/>
        <w:rPr>
          <w:rFonts w:ascii="Times New Roman" w:hAnsi="Times New Roman" w:cs="Times New Roman"/>
          <w:sz w:val="24"/>
          <w:szCs w:val="24"/>
        </w:rPr>
      </w:pPr>
    </w:p>
    <w:p w14:paraId="148AC65A" w14:textId="17E8911F" w:rsidR="00661276" w:rsidRPr="002F51FF" w:rsidRDefault="00661276" w:rsidP="00BF375B">
      <w:pPr>
        <w:pStyle w:val="NoSpacing"/>
        <w:rPr>
          <w:rFonts w:ascii="Times New Roman" w:hAnsi="Times New Roman" w:cs="Times New Roman"/>
          <w:sz w:val="24"/>
          <w:szCs w:val="24"/>
        </w:rPr>
      </w:pPr>
      <w:r w:rsidRPr="002F51FF">
        <w:rPr>
          <w:rFonts w:ascii="Times New Roman" w:hAnsi="Times New Roman" w:cs="Times New Roman"/>
          <w:sz w:val="24"/>
          <w:szCs w:val="24"/>
        </w:rPr>
        <w:t>A proposal of this magnitude requires more time and analysis to avoid unintended consequences.</w:t>
      </w:r>
      <w:r w:rsidR="002F51FF" w:rsidRPr="002F51FF">
        <w:rPr>
          <w:rFonts w:ascii="Times New Roman" w:hAnsi="Times New Roman" w:cs="Times New Roman"/>
          <w:sz w:val="24"/>
          <w:szCs w:val="24"/>
        </w:rPr>
        <w:t xml:space="preserve"> At a minimum, DOJ should work with DOE to better understand the competition implications raised by the DOE’s NOPR and take the requisite time to ensure that we do not create unintended consequences that will be </w:t>
      </w:r>
      <w:r w:rsidR="00B64EE4">
        <w:rPr>
          <w:rFonts w:ascii="Times New Roman" w:hAnsi="Times New Roman" w:cs="Times New Roman"/>
          <w:sz w:val="24"/>
          <w:szCs w:val="24"/>
        </w:rPr>
        <w:t>detrimental</w:t>
      </w:r>
      <w:r w:rsidR="002F51FF" w:rsidRPr="002F51FF">
        <w:rPr>
          <w:rFonts w:ascii="Times New Roman" w:hAnsi="Times New Roman" w:cs="Times New Roman"/>
          <w:sz w:val="24"/>
          <w:szCs w:val="24"/>
        </w:rPr>
        <w:t xml:space="preserve"> to electric reliability and affordability a</w:t>
      </w:r>
      <w:r w:rsidR="00B64EE4">
        <w:rPr>
          <w:rFonts w:ascii="Times New Roman" w:hAnsi="Times New Roman" w:cs="Times New Roman"/>
          <w:sz w:val="24"/>
          <w:szCs w:val="24"/>
        </w:rPr>
        <w:t>s well as</w:t>
      </w:r>
      <w:r w:rsidR="002F51FF" w:rsidRPr="002F51FF">
        <w:rPr>
          <w:rFonts w:ascii="Times New Roman" w:hAnsi="Times New Roman" w:cs="Times New Roman"/>
          <w:sz w:val="24"/>
          <w:szCs w:val="24"/>
        </w:rPr>
        <w:t xml:space="preserve"> U.S. national security. </w:t>
      </w:r>
    </w:p>
    <w:p w14:paraId="02E09BF0" w14:textId="77777777" w:rsidR="0095553A" w:rsidRDefault="0095553A" w:rsidP="00BF375B">
      <w:pPr>
        <w:pStyle w:val="NoSpacing"/>
        <w:rPr>
          <w:rFonts w:ascii="Times New Roman" w:hAnsi="Times New Roman" w:cs="Times New Roman"/>
          <w:sz w:val="24"/>
          <w:szCs w:val="24"/>
        </w:rPr>
      </w:pPr>
    </w:p>
    <w:p w14:paraId="0BB28779" w14:textId="50141CAA" w:rsidR="00661276" w:rsidRDefault="0095553A" w:rsidP="00BF375B">
      <w:pPr>
        <w:pStyle w:val="NoSpacing"/>
        <w:rPr>
          <w:rFonts w:ascii="Times New Roman" w:hAnsi="Times New Roman" w:cs="Times New Roman"/>
          <w:sz w:val="24"/>
          <w:szCs w:val="24"/>
        </w:rPr>
      </w:pPr>
      <w:r>
        <w:rPr>
          <w:rFonts w:ascii="Times New Roman" w:hAnsi="Times New Roman" w:cs="Times New Roman"/>
          <w:sz w:val="24"/>
          <w:szCs w:val="24"/>
        </w:rPr>
        <w:t>Thank you for considering our comments</w:t>
      </w:r>
      <w:r w:rsidR="002F51FF">
        <w:rPr>
          <w:rFonts w:ascii="Times New Roman" w:hAnsi="Times New Roman" w:cs="Times New Roman"/>
          <w:sz w:val="24"/>
          <w:szCs w:val="24"/>
        </w:rPr>
        <w:t>. We would welcome further discussion about the issues we have raised with your team.</w:t>
      </w:r>
      <w:r>
        <w:rPr>
          <w:rFonts w:ascii="Times New Roman" w:hAnsi="Times New Roman" w:cs="Times New Roman"/>
          <w:sz w:val="24"/>
          <w:szCs w:val="24"/>
        </w:rPr>
        <w:t xml:space="preserve"> </w:t>
      </w:r>
    </w:p>
    <w:p w14:paraId="25A1E1E8" w14:textId="4E643AE7" w:rsidR="0095553A" w:rsidRDefault="0095553A" w:rsidP="00BF375B">
      <w:pPr>
        <w:pStyle w:val="NoSpacing"/>
        <w:rPr>
          <w:rFonts w:ascii="Times New Roman" w:hAnsi="Times New Roman" w:cs="Times New Roman"/>
          <w:sz w:val="24"/>
          <w:szCs w:val="24"/>
        </w:rPr>
      </w:pPr>
    </w:p>
    <w:p w14:paraId="76347D8A" w14:textId="3BE8726B" w:rsidR="0095553A" w:rsidRDefault="0095553A" w:rsidP="00BF375B">
      <w:pPr>
        <w:pStyle w:val="NoSpacing"/>
        <w:rPr>
          <w:rFonts w:ascii="Times New Roman" w:hAnsi="Times New Roman" w:cs="Times New Roman"/>
          <w:sz w:val="24"/>
          <w:szCs w:val="24"/>
        </w:rPr>
      </w:pPr>
      <w:r>
        <w:rPr>
          <w:rFonts w:ascii="Times New Roman" w:hAnsi="Times New Roman" w:cs="Times New Roman"/>
          <w:sz w:val="24"/>
          <w:szCs w:val="24"/>
        </w:rPr>
        <w:t xml:space="preserve">Sincerely, </w:t>
      </w:r>
    </w:p>
    <w:p w14:paraId="5F7A5181" w14:textId="7295AB82" w:rsidR="0095553A" w:rsidRDefault="0095553A" w:rsidP="00BF375B">
      <w:pPr>
        <w:pStyle w:val="NoSpacing"/>
        <w:rPr>
          <w:rFonts w:ascii="Times New Roman" w:hAnsi="Times New Roman" w:cs="Times New Roman"/>
          <w:sz w:val="24"/>
          <w:szCs w:val="24"/>
        </w:rPr>
      </w:pPr>
    </w:p>
    <w:p w14:paraId="72E19EC6" w14:textId="5494F835" w:rsidR="0095553A" w:rsidRDefault="0095553A" w:rsidP="00BF375B">
      <w:pPr>
        <w:pStyle w:val="NoSpacing"/>
        <w:rPr>
          <w:rFonts w:ascii="Times New Roman" w:hAnsi="Times New Roman" w:cs="Times New Roman"/>
          <w:sz w:val="24"/>
          <w:szCs w:val="24"/>
        </w:rPr>
      </w:pPr>
    </w:p>
    <w:p w14:paraId="7202E0D8" w14:textId="77777777" w:rsidR="0095553A" w:rsidRDefault="0095553A" w:rsidP="00BF375B">
      <w:pPr>
        <w:pStyle w:val="NoSpacing"/>
        <w:rPr>
          <w:rFonts w:ascii="Times New Roman" w:hAnsi="Times New Roman" w:cs="Times New Roman"/>
          <w:sz w:val="24"/>
          <w:szCs w:val="24"/>
        </w:rPr>
      </w:pPr>
    </w:p>
    <w:p w14:paraId="3D13C786" w14:textId="796DD5A8" w:rsidR="00661276" w:rsidRDefault="002F51FF" w:rsidP="00BF375B">
      <w:pPr>
        <w:pStyle w:val="NoSpacing"/>
        <w:rPr>
          <w:rFonts w:ascii="Times New Roman" w:hAnsi="Times New Roman" w:cs="Times New Roman"/>
          <w:sz w:val="24"/>
          <w:szCs w:val="24"/>
        </w:rPr>
      </w:pPr>
      <w:r>
        <w:rPr>
          <w:rFonts w:ascii="Times New Roman" w:hAnsi="Times New Roman" w:cs="Times New Roman"/>
          <w:sz w:val="24"/>
          <w:szCs w:val="24"/>
        </w:rPr>
        <w:t>[trade]</w:t>
      </w:r>
    </w:p>
    <w:p w14:paraId="473AEB0D" w14:textId="67F3BABB" w:rsidR="0095553A" w:rsidRDefault="002F51FF" w:rsidP="00BF375B">
      <w:pPr>
        <w:pStyle w:val="NoSpacing"/>
        <w:rPr>
          <w:rFonts w:ascii="Times New Roman" w:hAnsi="Times New Roman" w:cs="Times New Roman"/>
          <w:sz w:val="24"/>
          <w:szCs w:val="24"/>
        </w:rPr>
      </w:pPr>
      <w:r>
        <w:rPr>
          <w:rFonts w:ascii="Times New Roman" w:hAnsi="Times New Roman" w:cs="Times New Roman"/>
          <w:sz w:val="24"/>
          <w:szCs w:val="24"/>
        </w:rPr>
        <w:t>[trade]</w:t>
      </w:r>
    </w:p>
    <w:p w14:paraId="40FFAC94" w14:textId="477524DD" w:rsidR="0095553A" w:rsidRPr="00BF375B" w:rsidRDefault="002F51FF" w:rsidP="00BF375B">
      <w:pPr>
        <w:pStyle w:val="NoSpacing"/>
        <w:rPr>
          <w:rFonts w:ascii="Times New Roman" w:hAnsi="Times New Roman" w:cs="Times New Roman"/>
          <w:sz w:val="24"/>
          <w:szCs w:val="24"/>
        </w:rPr>
      </w:pPr>
      <w:r>
        <w:rPr>
          <w:rFonts w:ascii="Times New Roman" w:hAnsi="Times New Roman" w:cs="Times New Roman"/>
          <w:sz w:val="24"/>
          <w:szCs w:val="24"/>
        </w:rPr>
        <w:t>[trade]</w:t>
      </w:r>
    </w:p>
    <w:sectPr w:rsidR="0095553A" w:rsidRPr="00BF375B" w:rsidSect="009E124E">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12E2" w14:textId="77777777" w:rsidR="00D80884" w:rsidRDefault="00D80884" w:rsidP="00D80884">
      <w:pPr>
        <w:spacing w:after="0" w:line="240" w:lineRule="auto"/>
      </w:pPr>
      <w:r>
        <w:separator/>
      </w:r>
    </w:p>
  </w:endnote>
  <w:endnote w:type="continuationSeparator" w:id="0">
    <w:p w14:paraId="2BA51CAF" w14:textId="77777777" w:rsidR="00D80884" w:rsidRDefault="00D80884" w:rsidP="00D8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72931206"/>
      <w:docPartObj>
        <w:docPartGallery w:val="Page Numbers (Bottom of Page)"/>
        <w:docPartUnique/>
      </w:docPartObj>
    </w:sdtPr>
    <w:sdtEndPr>
      <w:rPr>
        <w:noProof/>
      </w:rPr>
    </w:sdtEndPr>
    <w:sdtContent>
      <w:p w14:paraId="4233BE7F" w14:textId="20C2B71E" w:rsidR="009E124E" w:rsidRPr="00EE78D7" w:rsidRDefault="009E124E">
        <w:pPr>
          <w:pStyle w:val="Footer"/>
          <w:jc w:val="center"/>
          <w:rPr>
            <w:rFonts w:ascii="Times New Roman" w:hAnsi="Times New Roman" w:cs="Times New Roman"/>
          </w:rPr>
        </w:pPr>
        <w:r w:rsidRPr="00EE78D7">
          <w:rPr>
            <w:rFonts w:ascii="Times New Roman" w:hAnsi="Times New Roman" w:cs="Times New Roman"/>
          </w:rPr>
          <w:fldChar w:fldCharType="begin"/>
        </w:r>
        <w:r w:rsidRPr="00EE78D7">
          <w:rPr>
            <w:rFonts w:ascii="Times New Roman" w:hAnsi="Times New Roman" w:cs="Times New Roman"/>
          </w:rPr>
          <w:instrText xml:space="preserve"> PAGE   \* MERGEFORMAT </w:instrText>
        </w:r>
        <w:r w:rsidRPr="00EE78D7">
          <w:rPr>
            <w:rFonts w:ascii="Times New Roman" w:hAnsi="Times New Roman" w:cs="Times New Roman"/>
          </w:rPr>
          <w:fldChar w:fldCharType="separate"/>
        </w:r>
        <w:r w:rsidRPr="00EE78D7">
          <w:rPr>
            <w:rFonts w:ascii="Times New Roman" w:hAnsi="Times New Roman" w:cs="Times New Roman"/>
            <w:noProof/>
          </w:rPr>
          <w:t>2</w:t>
        </w:r>
        <w:r w:rsidRPr="00EE78D7">
          <w:rPr>
            <w:rFonts w:ascii="Times New Roman" w:hAnsi="Times New Roman" w:cs="Times New Roman"/>
            <w:noProof/>
          </w:rPr>
          <w:fldChar w:fldCharType="end"/>
        </w:r>
      </w:p>
    </w:sdtContent>
  </w:sdt>
  <w:p w14:paraId="24160489" w14:textId="77777777" w:rsidR="009E124E" w:rsidRDefault="009E1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0337412"/>
      <w:docPartObj>
        <w:docPartGallery w:val="Page Numbers (Bottom of Page)"/>
        <w:docPartUnique/>
      </w:docPartObj>
    </w:sdtPr>
    <w:sdtEndPr>
      <w:rPr>
        <w:noProof/>
      </w:rPr>
    </w:sdtEndPr>
    <w:sdtContent>
      <w:p w14:paraId="09B75A77" w14:textId="246F058E" w:rsidR="009E124E" w:rsidRPr="00EE78D7" w:rsidRDefault="009E124E">
        <w:pPr>
          <w:pStyle w:val="Footer"/>
          <w:jc w:val="center"/>
          <w:rPr>
            <w:rFonts w:ascii="Times New Roman" w:hAnsi="Times New Roman" w:cs="Times New Roman"/>
          </w:rPr>
        </w:pPr>
        <w:r w:rsidRPr="00EE78D7">
          <w:rPr>
            <w:rFonts w:ascii="Times New Roman" w:hAnsi="Times New Roman" w:cs="Times New Roman"/>
          </w:rPr>
          <w:fldChar w:fldCharType="begin"/>
        </w:r>
        <w:r w:rsidRPr="00EE78D7">
          <w:rPr>
            <w:rFonts w:ascii="Times New Roman" w:hAnsi="Times New Roman" w:cs="Times New Roman"/>
          </w:rPr>
          <w:instrText xml:space="preserve"> PAGE   \* MERGEFORMAT </w:instrText>
        </w:r>
        <w:r w:rsidRPr="00EE78D7">
          <w:rPr>
            <w:rFonts w:ascii="Times New Roman" w:hAnsi="Times New Roman" w:cs="Times New Roman"/>
          </w:rPr>
          <w:fldChar w:fldCharType="separate"/>
        </w:r>
        <w:r w:rsidRPr="00EE78D7">
          <w:rPr>
            <w:rFonts w:ascii="Times New Roman" w:hAnsi="Times New Roman" w:cs="Times New Roman"/>
            <w:noProof/>
          </w:rPr>
          <w:t>2</w:t>
        </w:r>
        <w:r w:rsidRPr="00EE78D7">
          <w:rPr>
            <w:rFonts w:ascii="Times New Roman" w:hAnsi="Times New Roman" w:cs="Times New Roman"/>
            <w:noProof/>
          </w:rPr>
          <w:fldChar w:fldCharType="end"/>
        </w:r>
      </w:p>
    </w:sdtContent>
  </w:sdt>
  <w:p w14:paraId="66A9588F" w14:textId="77777777" w:rsidR="009E124E" w:rsidRDefault="009E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3FF2" w14:textId="77777777" w:rsidR="00D80884" w:rsidRDefault="00D80884" w:rsidP="00D80884">
      <w:pPr>
        <w:spacing w:after="0" w:line="240" w:lineRule="auto"/>
      </w:pPr>
      <w:r>
        <w:separator/>
      </w:r>
    </w:p>
  </w:footnote>
  <w:footnote w:type="continuationSeparator" w:id="0">
    <w:p w14:paraId="58442695" w14:textId="77777777" w:rsidR="00D80884" w:rsidRDefault="00D80884" w:rsidP="00D80884">
      <w:pPr>
        <w:spacing w:after="0" w:line="240" w:lineRule="auto"/>
      </w:pPr>
      <w:r>
        <w:continuationSeparator/>
      </w:r>
    </w:p>
  </w:footnote>
  <w:footnote w:id="1">
    <w:p w14:paraId="7822E858" w14:textId="371BDBB9" w:rsidR="00B31124" w:rsidRPr="00F2214A" w:rsidRDefault="00B31124">
      <w:pPr>
        <w:pStyle w:val="FootnoteText"/>
        <w:rPr>
          <w:rFonts w:ascii="Times New Roman" w:hAnsi="Times New Roman" w:cs="Times New Roman"/>
        </w:rPr>
      </w:pPr>
      <w:r w:rsidRPr="00F2214A">
        <w:rPr>
          <w:rStyle w:val="FootnoteReference"/>
          <w:rFonts w:ascii="Times New Roman" w:hAnsi="Times New Roman" w:cs="Times New Roman"/>
        </w:rPr>
        <w:footnoteRef/>
      </w:r>
      <w:r w:rsidRPr="00F2214A">
        <w:rPr>
          <w:rFonts w:ascii="Times New Roman" w:hAnsi="Times New Roman" w:cs="Times New Roman"/>
        </w:rPr>
        <w:t xml:space="preserve"> If the NOPR is finalized in 2024 as envisioned, compliance by manufacturers would begin in 2027.</w:t>
      </w:r>
    </w:p>
  </w:footnote>
  <w:footnote w:id="2">
    <w:p w14:paraId="61FA45B5" w14:textId="4ADBE1B7" w:rsidR="00E71A55" w:rsidRPr="00F2214A" w:rsidRDefault="00E71A55">
      <w:pPr>
        <w:pStyle w:val="FootnoteText"/>
        <w:rPr>
          <w:rFonts w:ascii="Times New Roman" w:hAnsi="Times New Roman" w:cs="Times New Roman"/>
        </w:rPr>
      </w:pPr>
      <w:r w:rsidRPr="00F2214A">
        <w:rPr>
          <w:rStyle w:val="FootnoteReference"/>
          <w:rFonts w:ascii="Times New Roman" w:hAnsi="Times New Roman" w:cs="Times New Roman"/>
        </w:rPr>
        <w:footnoteRef/>
      </w:r>
      <w:r w:rsidR="00F2214A">
        <w:rPr>
          <w:rFonts w:ascii="Times New Roman" w:hAnsi="Times New Roman" w:cs="Times New Roman"/>
        </w:rPr>
        <w:t xml:space="preserve"> See the U.S. Department of Commerce’s “The Effect of Imports of Transformers and Transformer Components on the National Security” (October 15, 2020) at:</w:t>
      </w:r>
      <w:r w:rsidRPr="00F2214A">
        <w:rPr>
          <w:rFonts w:ascii="Times New Roman" w:hAnsi="Times New Roman" w:cs="Times New Roman"/>
        </w:rPr>
        <w:t xml:space="preserve"> </w:t>
      </w:r>
      <w:hyperlink r:id="rId1" w:history="1">
        <w:r w:rsidRPr="00F2214A">
          <w:rPr>
            <w:rStyle w:val="Hyperlink"/>
            <w:rFonts w:ascii="Times New Roman" w:hAnsi="Times New Roman" w:cs="Times New Roman"/>
          </w:rPr>
          <w:t>https://www.bis.doc.gov/index.php/documents/section-232-investigations/2790-redacted-goes-report-20210723-ab-redacted/file</w:t>
        </w:r>
      </w:hyperlink>
      <w:r w:rsidRPr="00F2214A">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917B" w14:textId="29ACE3A3" w:rsidR="00D80884" w:rsidRPr="00350177" w:rsidRDefault="00350177">
    <w:pPr>
      <w:pStyle w:val="Header"/>
      <w:rPr>
        <w:rFonts w:ascii="Times New Roman" w:hAnsi="Times New Roman" w:cs="Times New Roman"/>
        <w:sz w:val="24"/>
        <w:szCs w:val="24"/>
      </w:rPr>
    </w:pPr>
    <w:r w:rsidRPr="00350177">
      <w:rPr>
        <w:rFonts w:ascii="Times New Roman" w:hAnsi="Times New Roman" w:cs="Times New Roman"/>
        <w:sz w:val="24"/>
        <w:szCs w:val="24"/>
      </w:rPr>
      <w:t xml:space="preserve">Letter to U.S. Department of Justice Antitrust Division </w:t>
    </w:r>
    <w:r w:rsidRPr="00350177">
      <w:rPr>
        <w:rFonts w:ascii="Times New Roman" w:hAnsi="Times New Roman" w:cs="Times New Roman"/>
        <w:color w:val="FF0000"/>
        <w:sz w:val="24"/>
        <w:szCs w:val="24"/>
      </w:rPr>
      <w:t xml:space="preserve">– DRAFT </w:t>
    </w:r>
  </w:p>
  <w:p w14:paraId="0A08BFCF" w14:textId="3F74DECE" w:rsidR="00350177" w:rsidRPr="00350177" w:rsidRDefault="00350177">
    <w:pPr>
      <w:pStyle w:val="Header"/>
      <w:rPr>
        <w:rFonts w:ascii="Times New Roman" w:hAnsi="Times New Roman" w:cs="Times New Roman"/>
        <w:sz w:val="24"/>
        <w:szCs w:val="24"/>
      </w:rPr>
    </w:pPr>
    <w:r w:rsidRPr="00350177">
      <w:rPr>
        <w:rFonts w:ascii="Times New Roman" w:hAnsi="Times New Roman" w:cs="Times New Roman"/>
        <w:sz w:val="24"/>
        <w:szCs w:val="24"/>
      </w:rPr>
      <w:t xml:space="preserve">RE: </w:t>
    </w:r>
    <w:r w:rsidR="00581030">
      <w:rPr>
        <w:rFonts w:ascii="Times New Roman" w:hAnsi="Times New Roman" w:cs="Times New Roman"/>
        <w:sz w:val="24"/>
        <w:szCs w:val="24"/>
      </w:rPr>
      <w:t>DOE</w:t>
    </w:r>
    <w:r w:rsidRPr="00350177">
      <w:rPr>
        <w:rFonts w:ascii="Times New Roman" w:hAnsi="Times New Roman" w:cs="Times New Roman"/>
        <w:sz w:val="24"/>
        <w:szCs w:val="24"/>
      </w:rPr>
      <w:t xml:space="preserve"> Proposed Rule for Distribution Transformers (EERE-2019-BT-STD-0018)</w:t>
    </w:r>
  </w:p>
  <w:p w14:paraId="2F3951C8" w14:textId="5450B01B" w:rsidR="00350177" w:rsidRPr="00350177" w:rsidRDefault="00350177">
    <w:pPr>
      <w:pStyle w:val="Header"/>
      <w:rPr>
        <w:rFonts w:ascii="Times New Roman" w:hAnsi="Times New Roman" w:cs="Times New Roman"/>
        <w:sz w:val="24"/>
        <w:szCs w:val="24"/>
      </w:rPr>
    </w:pPr>
    <w:r w:rsidRPr="00350177">
      <w:rPr>
        <w:rFonts w:ascii="Times New Roman" w:hAnsi="Times New Roman" w:cs="Times New Roman"/>
        <w:sz w:val="24"/>
        <w:szCs w:val="24"/>
      </w:rPr>
      <w:t>February 10,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EDB8" w14:textId="5D69F7EF" w:rsidR="00581030" w:rsidRPr="00581030" w:rsidRDefault="00581030">
    <w:pPr>
      <w:pStyle w:val="Header"/>
      <w:rPr>
        <w:color w:val="FF0000"/>
      </w:rPr>
    </w:pPr>
    <w:r w:rsidRPr="00581030">
      <w:rPr>
        <w:color w:val="FF0000"/>
      </w:rPr>
      <w:t>DRAFT – not for public distribution or outside APPA/EEI/NRECA membership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44E3"/>
    <w:multiLevelType w:val="hybridMultilevel"/>
    <w:tmpl w:val="DCCA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84C2C"/>
    <w:multiLevelType w:val="hybridMultilevel"/>
    <w:tmpl w:val="D118197E"/>
    <w:lvl w:ilvl="0" w:tplc="954AA6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B"/>
    <w:rsid w:val="000A39E7"/>
    <w:rsid w:val="000F2A44"/>
    <w:rsid w:val="001037E4"/>
    <w:rsid w:val="001258DC"/>
    <w:rsid w:val="00190F1C"/>
    <w:rsid w:val="001F6C57"/>
    <w:rsid w:val="0023166B"/>
    <w:rsid w:val="00232B8C"/>
    <w:rsid w:val="00283FEB"/>
    <w:rsid w:val="002A2582"/>
    <w:rsid w:val="002F51FF"/>
    <w:rsid w:val="003210E7"/>
    <w:rsid w:val="00350177"/>
    <w:rsid w:val="00367E0E"/>
    <w:rsid w:val="003972AA"/>
    <w:rsid w:val="00397E14"/>
    <w:rsid w:val="00455633"/>
    <w:rsid w:val="00474EDF"/>
    <w:rsid w:val="00540FE5"/>
    <w:rsid w:val="00581030"/>
    <w:rsid w:val="00661276"/>
    <w:rsid w:val="00701337"/>
    <w:rsid w:val="0078599E"/>
    <w:rsid w:val="007F61E8"/>
    <w:rsid w:val="00801E90"/>
    <w:rsid w:val="00827428"/>
    <w:rsid w:val="00841217"/>
    <w:rsid w:val="00880E2A"/>
    <w:rsid w:val="00914057"/>
    <w:rsid w:val="00945102"/>
    <w:rsid w:val="0095553A"/>
    <w:rsid w:val="00966BA2"/>
    <w:rsid w:val="009A4981"/>
    <w:rsid w:val="009C5ED6"/>
    <w:rsid w:val="009E124E"/>
    <w:rsid w:val="00A51770"/>
    <w:rsid w:val="00A5178C"/>
    <w:rsid w:val="00A92935"/>
    <w:rsid w:val="00AF0DCD"/>
    <w:rsid w:val="00B31124"/>
    <w:rsid w:val="00B470E9"/>
    <w:rsid w:val="00B50038"/>
    <w:rsid w:val="00B62421"/>
    <w:rsid w:val="00B64EE4"/>
    <w:rsid w:val="00B8037A"/>
    <w:rsid w:val="00BB2FC2"/>
    <w:rsid w:val="00BF375B"/>
    <w:rsid w:val="00C51B40"/>
    <w:rsid w:val="00C63CE7"/>
    <w:rsid w:val="00CD4FC5"/>
    <w:rsid w:val="00D80884"/>
    <w:rsid w:val="00DE64FD"/>
    <w:rsid w:val="00E10A46"/>
    <w:rsid w:val="00E36907"/>
    <w:rsid w:val="00E71A55"/>
    <w:rsid w:val="00E83E45"/>
    <w:rsid w:val="00EC1FB8"/>
    <w:rsid w:val="00EE0FF8"/>
    <w:rsid w:val="00EE78D7"/>
    <w:rsid w:val="00F2214A"/>
    <w:rsid w:val="00FB2D8E"/>
    <w:rsid w:val="00FD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5955F9"/>
  <w15:chartTrackingRefBased/>
  <w15:docId w15:val="{0A2B2BFB-BAA8-4113-AAC8-A0B9048E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75B"/>
    <w:pPr>
      <w:spacing w:after="0" w:line="240" w:lineRule="auto"/>
    </w:pPr>
  </w:style>
  <w:style w:type="paragraph" w:styleId="Header">
    <w:name w:val="header"/>
    <w:basedOn w:val="Normal"/>
    <w:link w:val="HeaderChar"/>
    <w:uiPriority w:val="99"/>
    <w:unhideWhenUsed/>
    <w:rsid w:val="00D80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84"/>
  </w:style>
  <w:style w:type="paragraph" w:styleId="Footer">
    <w:name w:val="footer"/>
    <w:basedOn w:val="Normal"/>
    <w:link w:val="FooterChar"/>
    <w:uiPriority w:val="99"/>
    <w:unhideWhenUsed/>
    <w:rsid w:val="00D80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84"/>
  </w:style>
  <w:style w:type="paragraph" w:styleId="ListParagraph">
    <w:name w:val="List Paragraph"/>
    <w:basedOn w:val="Normal"/>
    <w:uiPriority w:val="34"/>
    <w:qFormat/>
    <w:rsid w:val="00A92935"/>
    <w:pPr>
      <w:ind w:left="720"/>
      <w:contextualSpacing/>
    </w:pPr>
  </w:style>
  <w:style w:type="character" w:styleId="Hyperlink">
    <w:name w:val="Hyperlink"/>
    <w:basedOn w:val="DefaultParagraphFont"/>
    <w:uiPriority w:val="99"/>
    <w:unhideWhenUsed/>
    <w:rsid w:val="00350177"/>
    <w:rPr>
      <w:color w:val="0563C1" w:themeColor="hyperlink"/>
      <w:u w:val="single"/>
    </w:rPr>
  </w:style>
  <w:style w:type="character" w:styleId="UnresolvedMention">
    <w:name w:val="Unresolved Mention"/>
    <w:basedOn w:val="DefaultParagraphFont"/>
    <w:uiPriority w:val="99"/>
    <w:semiHidden/>
    <w:unhideWhenUsed/>
    <w:rsid w:val="00350177"/>
    <w:rPr>
      <w:color w:val="605E5C"/>
      <w:shd w:val="clear" w:color="auto" w:fill="E1DFDD"/>
    </w:rPr>
  </w:style>
  <w:style w:type="paragraph" w:styleId="FootnoteText">
    <w:name w:val="footnote text"/>
    <w:basedOn w:val="Normal"/>
    <w:link w:val="FootnoteTextChar"/>
    <w:uiPriority w:val="99"/>
    <w:semiHidden/>
    <w:unhideWhenUsed/>
    <w:rsid w:val="00B31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124"/>
    <w:rPr>
      <w:sz w:val="20"/>
      <w:szCs w:val="20"/>
    </w:rPr>
  </w:style>
  <w:style w:type="character" w:styleId="FootnoteReference">
    <w:name w:val="footnote reference"/>
    <w:basedOn w:val="DefaultParagraphFont"/>
    <w:uiPriority w:val="99"/>
    <w:semiHidden/>
    <w:unhideWhenUsed/>
    <w:rsid w:val="00B31124"/>
    <w:rPr>
      <w:vertAlign w:val="superscript"/>
    </w:rPr>
  </w:style>
  <w:style w:type="character" w:styleId="FollowedHyperlink">
    <w:name w:val="FollowedHyperlink"/>
    <w:basedOn w:val="DefaultParagraphFont"/>
    <w:uiPriority w:val="99"/>
    <w:semiHidden/>
    <w:unhideWhenUsed/>
    <w:rsid w:val="00F221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6509">
      <w:bodyDiv w:val="1"/>
      <w:marLeft w:val="0"/>
      <w:marRight w:val="0"/>
      <w:marTop w:val="0"/>
      <w:marBottom w:val="0"/>
      <w:divBdr>
        <w:top w:val="none" w:sz="0" w:space="0" w:color="auto"/>
        <w:left w:val="none" w:sz="0" w:space="0" w:color="auto"/>
        <w:bottom w:val="none" w:sz="0" w:space="0" w:color="auto"/>
        <w:right w:val="none" w:sz="0" w:space="0" w:color="auto"/>
      </w:divBdr>
    </w:div>
    <w:div w:id="522674648">
      <w:bodyDiv w:val="1"/>
      <w:marLeft w:val="0"/>
      <w:marRight w:val="0"/>
      <w:marTop w:val="0"/>
      <w:marBottom w:val="0"/>
      <w:divBdr>
        <w:top w:val="none" w:sz="0" w:space="0" w:color="auto"/>
        <w:left w:val="none" w:sz="0" w:space="0" w:color="auto"/>
        <w:bottom w:val="none" w:sz="0" w:space="0" w:color="auto"/>
        <w:right w:val="none" w:sz="0" w:space="0" w:color="auto"/>
      </w:divBdr>
    </w:div>
    <w:div w:id="601377115">
      <w:bodyDiv w:val="1"/>
      <w:marLeft w:val="0"/>
      <w:marRight w:val="0"/>
      <w:marTop w:val="0"/>
      <w:marBottom w:val="0"/>
      <w:divBdr>
        <w:top w:val="none" w:sz="0" w:space="0" w:color="auto"/>
        <w:left w:val="none" w:sz="0" w:space="0" w:color="auto"/>
        <w:bottom w:val="none" w:sz="0" w:space="0" w:color="auto"/>
        <w:right w:val="none" w:sz="0" w:space="0" w:color="auto"/>
      </w:divBdr>
    </w:div>
    <w:div w:id="1130977785">
      <w:bodyDiv w:val="1"/>
      <w:marLeft w:val="0"/>
      <w:marRight w:val="0"/>
      <w:marTop w:val="0"/>
      <w:marBottom w:val="0"/>
      <w:divBdr>
        <w:top w:val="none" w:sz="0" w:space="0" w:color="auto"/>
        <w:left w:val="none" w:sz="0" w:space="0" w:color="auto"/>
        <w:bottom w:val="none" w:sz="0" w:space="0" w:color="auto"/>
        <w:right w:val="none" w:sz="0" w:space="0" w:color="auto"/>
      </w:divBdr>
    </w:div>
    <w:div w:id="1532916580">
      <w:bodyDiv w:val="1"/>
      <w:marLeft w:val="0"/>
      <w:marRight w:val="0"/>
      <w:marTop w:val="0"/>
      <w:marBottom w:val="0"/>
      <w:divBdr>
        <w:top w:val="none" w:sz="0" w:space="0" w:color="auto"/>
        <w:left w:val="none" w:sz="0" w:space="0" w:color="auto"/>
        <w:bottom w:val="none" w:sz="0" w:space="0" w:color="auto"/>
        <w:right w:val="none" w:sz="0" w:space="0" w:color="auto"/>
      </w:divBdr>
    </w:div>
    <w:div w:id="1613896800">
      <w:bodyDiv w:val="1"/>
      <w:marLeft w:val="0"/>
      <w:marRight w:val="0"/>
      <w:marTop w:val="0"/>
      <w:marBottom w:val="0"/>
      <w:divBdr>
        <w:top w:val="none" w:sz="0" w:space="0" w:color="auto"/>
        <w:left w:val="none" w:sz="0" w:space="0" w:color="auto"/>
        <w:bottom w:val="none" w:sz="0" w:space="0" w:color="auto"/>
        <w:right w:val="none" w:sz="0" w:space="0" w:color="auto"/>
      </w:divBdr>
    </w:div>
    <w:div w:id="19814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ergy.standards@usdoj.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is.doc.gov/index.php/documents/section-232-investigations/2790-redacted-goes-report-20210723-ab-redacted/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BE3F-C82B-41C5-9EE3-DE0DCE8D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Stephanie</dc:creator>
  <cp:keywords/>
  <dc:description/>
  <cp:lastModifiedBy>Crawford, Stephanie</cp:lastModifiedBy>
  <cp:revision>7</cp:revision>
  <dcterms:created xsi:type="dcterms:W3CDTF">2023-01-27T19:52:00Z</dcterms:created>
  <dcterms:modified xsi:type="dcterms:W3CDTF">2023-02-03T13:04:00Z</dcterms:modified>
</cp:coreProperties>
</file>